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汇票 / Bill of Exchange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出票日期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签发汇票的日期，通常不得早于发票日期，也不得晚于信用证有效期或交单期。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出票地点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出票人所在城市，影响法律适用和管辖权，通常与出票人地址一致。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汇票号码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便于内部管理和查询的编号，一般与发票号一致。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汇票金额（小写）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用数字表示的付款金额，须与发票、信用证金额一致，并注明币种。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汇票金额（大写）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用文字表示的金额，须与小写完全一致，防止篡改。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付款期限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如即期（at sight）或远期（如30天、60天），须与合同或信用证规定一致。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受款人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收款人名称，通常为出口商或其指定银行，须准确无误。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出票人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签发汇票的当事人，一般为出口商，需签字盖章。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承担付款责任的当事人，通常为进口商或其银行，须与信用证一致。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出票条款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注明汇票依据的信用证号、开证行、开证日期等，表明付款责任。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利息条款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如远期汇票需计息，应注明利率和起算日，但信用证通常禁止。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付款人账号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付款人在银行的账号，便于电子清算，非必需但有助于快速处理。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背书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收款人转让汇票权利时在背面签字，分为空白背书和记名背书。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无条件支付命令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明确表述“支付”而非“请支付”，体现汇票的无条件性。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适用法律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注明汇票受何法律管辖，如《票据法》或国际公约，减少争议。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