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提单 / Bill of Lading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提单号码（B/L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由承运人指定的唯一编号，用于识别和跟踪货物。填写时应与订舱单、装箱单一致，确保唯一性。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托运人（Shipper）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填写发货人全称及地址，通常为出口商。信用证项下须与受益人名称一致，否则可能构成不符点。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收货人（Consignee）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填写收货人全称及地址。根据结算方式可填记名收货人、指示收货人或空白指示，需与信用证要求严格一致。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通知方（Notify Party）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货物到港后承运人通知的对象，通常为进口商或其代理。若收货人为指示人，通知方必须填写详细地址。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船名及航次（Vessel &amp; Voyage）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填写实际载货船舶名称及航次编号，须与订舱信息一致，以便跟踪货物动态。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装货港（Port of Loading）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填写货物实际装船的港口全称，须与信用证规定一致，避免模糊港口名称。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卸货港（Port of Discharge）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填写货物最终卸下的港口全称，须与信用证及贸易合同一致，注意转运条款。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交货地（Place of Delivery）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多式联运时填写最终交货地点，若为港到港则留空或填“CY”。需与运输条款匹配。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货物描述（Description of Goods）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填写货物名称、数量、包装、唛头等，须与发票、装箱单一致，信用证项下不得有冲突。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毛重与体积（Gross Weight &amp; Measurement）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填写货物总毛重（公斤）和总体积（立方米），用于计算运费和配载，须准确。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运费条款（Freight &amp; Charges）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注明运费预付（Freight Prepaid）或到付（Freight Collect），须与贸易术语（如FOB、CIF）匹配。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提单份数（Number of Original B/L）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填写签发的正本提单份数，通常为三份，信用证要求可能不同，须严格按信用证规定。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签发地点与日期（Place &amp; Date of Issue）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填写提单签发地和日期，日期不得晚于信用证规定的装运期，否则构成不符点。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承运人签章（Signed for the Carrier）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由承运人或其授权代理人签字盖章，须表明身份，如“As Agent for the Carrier”。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