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Bill of Lading</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B/L No.</w:t>
            </w:r>
          </w:p>
          <w:p>
            <w:pPr>
              <w:spacing w:before="40"/>
            </w:pPr>
            <w:r>
              <w:rPr>
                <w:rFonts w:ascii="Arial" w:hAnsi="Arial" w:eastAsia="Arial"/>
                <w:b w:val="0"/>
                <w:i w:val="0"/>
                <w:color w:val="999999"/>
                <w:sz w:val="16"/>
              </w:rPr>
              <w:t>A unique number designated by the carrier, used to identify and track the goods. When completing it, it should be consistent with the booking note and packing list to ensure uniqueness.</w:t>
            </w:r>
          </w:p>
        </w:tc>
        <w:tc>
          <w:tcPr>
            <w:tcW w:type="dxa" w:w="5102"/>
          </w:tcPr>
          <w:p>
            <w:r/>
          </w:p>
        </w:tc>
      </w:tr>
      <w:tr>
        <w:tc>
          <w:tcPr>
            <w:tcW w:type="dxa" w:w="4535"/>
          </w:tcPr>
          <w:p>
            <w:r/>
            <w:r>
              <w:rPr>
                <w:rFonts w:ascii="Arial" w:hAnsi="Arial" w:eastAsia="Arial"/>
                <w:b/>
                <w:i w:val="0"/>
                <w:sz w:val="20"/>
              </w:rPr>
              <w:t>Shipper</w:t>
            </w:r>
          </w:p>
          <w:p>
            <w:pPr>
              <w:spacing w:before="40"/>
            </w:pPr>
            <w:r>
              <w:rPr>
                <w:rFonts w:ascii="Arial" w:hAnsi="Arial" w:eastAsia="Arial"/>
                <w:b w:val="0"/>
                <w:i w:val="0"/>
                <w:color w:val="999999"/>
                <w:sz w:val="16"/>
              </w:rPr>
              <w:t>Fill in the full name and address of the shipper, usually the exporter. Under a letter of credit, it must be consistent with the beneficiary's name, otherwise it may constitute a discrepancy.</w:t>
            </w:r>
          </w:p>
        </w:tc>
        <w:tc>
          <w:tcPr>
            <w:tcW w:type="dxa" w:w="5102"/>
          </w:tcPr>
          <w:p>
            <w:r/>
          </w:p>
        </w:tc>
      </w:tr>
      <w:tr>
        <w:tc>
          <w:tcPr>
            <w:tcW w:type="dxa" w:w="4535"/>
          </w:tcPr>
          <w:p>
            <w:r/>
            <w:r>
              <w:rPr>
                <w:rFonts w:ascii="Arial" w:hAnsi="Arial" w:eastAsia="Arial"/>
                <w:b/>
                <w:i w:val="0"/>
                <w:sz w:val="20"/>
              </w:rPr>
              <w:t>Consignee</w:t>
            </w:r>
          </w:p>
          <w:p>
            <w:pPr>
              <w:spacing w:before="40"/>
            </w:pPr>
            <w:r>
              <w:rPr>
                <w:rFonts w:ascii="Arial" w:hAnsi="Arial" w:eastAsia="Arial"/>
                <w:b w:val="0"/>
                <w:i w:val="0"/>
                <w:color w:val="999999"/>
                <w:sz w:val="16"/>
              </w:rPr>
              <w:t>Fill in the full name and address of the consignee. Depending on the settlement method, it may be a named consignee, order consignee, or blank order, and must strictly conform to the letter of credit requirements.</w:t>
            </w:r>
          </w:p>
        </w:tc>
        <w:tc>
          <w:tcPr>
            <w:tcW w:type="dxa" w:w="5102"/>
          </w:tcPr>
          <w:p>
            <w:r/>
          </w:p>
        </w:tc>
      </w:tr>
      <w:tr>
        <w:tc>
          <w:tcPr>
            <w:tcW w:type="dxa" w:w="4535"/>
          </w:tcPr>
          <w:p>
            <w:r/>
            <w:r>
              <w:rPr>
                <w:rFonts w:ascii="Arial" w:hAnsi="Arial" w:eastAsia="Arial"/>
                <w:b/>
                <w:i w:val="0"/>
                <w:sz w:val="20"/>
              </w:rPr>
              <w:t>Notify Party</w:t>
            </w:r>
          </w:p>
          <w:p>
            <w:pPr>
              <w:spacing w:before="40"/>
            </w:pPr>
            <w:r>
              <w:rPr>
                <w:rFonts w:ascii="Arial" w:hAnsi="Arial" w:eastAsia="Arial"/>
                <w:b w:val="0"/>
                <w:i w:val="0"/>
                <w:color w:val="999999"/>
                <w:sz w:val="16"/>
              </w:rPr>
              <w:t>The party to be notified by the carrier after the goods arrive at the port, usually the importer or its agent. If the consignee is to order, the notify party must be filled in with a detailed address.</w:t>
            </w:r>
          </w:p>
        </w:tc>
        <w:tc>
          <w:tcPr>
            <w:tcW w:type="dxa" w:w="5102"/>
          </w:tcPr>
          <w:p>
            <w:r/>
          </w:p>
        </w:tc>
      </w:tr>
      <w:tr>
        <w:tc>
          <w:tcPr>
            <w:tcW w:type="dxa" w:w="4535"/>
          </w:tcPr>
          <w:p>
            <w:r/>
            <w:r>
              <w:rPr>
                <w:rFonts w:ascii="Arial" w:hAnsi="Arial" w:eastAsia="Arial"/>
                <w:b/>
                <w:i w:val="0"/>
                <w:sz w:val="20"/>
              </w:rPr>
              <w:t>Vessel &amp; Voyage</w:t>
            </w:r>
          </w:p>
          <w:p>
            <w:pPr>
              <w:spacing w:before="40"/>
            </w:pPr>
            <w:r>
              <w:rPr>
                <w:rFonts w:ascii="Arial" w:hAnsi="Arial" w:eastAsia="Arial"/>
                <w:b w:val="0"/>
                <w:i w:val="0"/>
                <w:color w:val="999999"/>
                <w:sz w:val="16"/>
              </w:rPr>
              <w:t>Fill in the actual name of the carrying vessel and the voyage number, which must be consistent with the booking information so as to track the cargo status.</w:t>
            </w:r>
          </w:p>
        </w:tc>
        <w:tc>
          <w:tcPr>
            <w:tcW w:type="dxa" w:w="5102"/>
          </w:tcPr>
          <w:p>
            <w:r/>
          </w:p>
        </w:tc>
      </w:tr>
      <w:tr>
        <w:tc>
          <w:tcPr>
            <w:tcW w:type="dxa" w:w="4535"/>
          </w:tcPr>
          <w:p>
            <w:r/>
            <w:r>
              <w:rPr>
                <w:rFonts w:ascii="Arial" w:hAnsi="Arial" w:eastAsia="Arial"/>
                <w:b/>
                <w:i w:val="0"/>
                <w:sz w:val="20"/>
              </w:rPr>
              <w:t>Port of Loading</w:t>
            </w:r>
          </w:p>
          <w:p>
            <w:pPr>
              <w:spacing w:before="40"/>
            </w:pPr>
            <w:r>
              <w:rPr>
                <w:rFonts w:ascii="Arial" w:hAnsi="Arial" w:eastAsia="Arial"/>
                <w:b w:val="0"/>
                <w:i w:val="0"/>
                <w:color w:val="999999"/>
                <w:sz w:val="16"/>
              </w:rPr>
              <w:t>Fill in the full name of the port where the goods are actually loaded, which must be consistent with the letter of credit requirements, avoiding vague port names.</w:t>
            </w:r>
          </w:p>
        </w:tc>
        <w:tc>
          <w:tcPr>
            <w:tcW w:type="dxa" w:w="5102"/>
          </w:tcPr>
          <w:p>
            <w:r/>
          </w:p>
        </w:tc>
      </w:tr>
      <w:tr>
        <w:tc>
          <w:tcPr>
            <w:tcW w:type="dxa" w:w="4535"/>
          </w:tcPr>
          <w:p>
            <w:r/>
            <w:r>
              <w:rPr>
                <w:rFonts w:ascii="Arial" w:hAnsi="Arial" w:eastAsia="Arial"/>
                <w:b/>
                <w:i w:val="0"/>
                <w:sz w:val="20"/>
              </w:rPr>
              <w:t>Port of Discharge</w:t>
            </w:r>
          </w:p>
          <w:p>
            <w:pPr>
              <w:spacing w:before="40"/>
            </w:pPr>
            <w:r>
              <w:rPr>
                <w:rFonts w:ascii="Arial" w:hAnsi="Arial" w:eastAsia="Arial"/>
                <w:b w:val="0"/>
                <w:i w:val="0"/>
                <w:color w:val="999999"/>
                <w:sz w:val="16"/>
              </w:rPr>
              <w:t>Fill in the full name of the port where the goods are finally unloaded, which must be consistent with the letter of credit and the trade contract, paying attention to transshipment clauses.</w:t>
            </w:r>
          </w:p>
        </w:tc>
        <w:tc>
          <w:tcPr>
            <w:tcW w:type="dxa" w:w="5102"/>
          </w:tcPr>
          <w:p>
            <w:r/>
          </w:p>
        </w:tc>
      </w:tr>
      <w:tr>
        <w:tc>
          <w:tcPr>
            <w:tcW w:type="dxa" w:w="4535"/>
          </w:tcPr>
          <w:p>
            <w:r/>
            <w:r>
              <w:rPr>
                <w:rFonts w:ascii="Arial" w:hAnsi="Arial" w:eastAsia="Arial"/>
                <w:b/>
                <w:i w:val="0"/>
                <w:sz w:val="20"/>
              </w:rPr>
              <w:t>Place of Delivery</w:t>
            </w:r>
          </w:p>
          <w:p>
            <w:pPr>
              <w:spacing w:before="40"/>
            </w:pPr>
            <w:r>
              <w:rPr>
                <w:rFonts w:ascii="Arial" w:hAnsi="Arial" w:eastAsia="Arial"/>
                <w:b w:val="0"/>
                <w:i w:val="0"/>
                <w:color w:val="999999"/>
                <w:sz w:val="16"/>
              </w:rPr>
              <w:t>In multimodal transport, fill in the final place of delivery; if it is port-to-port, leave it blank or fill in "CY". It must match the transport terms.</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Fill in the goods name, quantity, packaging, marks, etc., which must be consistent with the invoice and packing list, and must not conflict under a letter of credit.</w:t>
            </w:r>
          </w:p>
        </w:tc>
        <w:tc>
          <w:tcPr>
            <w:tcW w:type="dxa" w:w="5102"/>
          </w:tcPr>
          <w:p>
            <w:r/>
          </w:p>
        </w:tc>
      </w:tr>
      <w:tr>
        <w:tc>
          <w:tcPr>
            <w:tcW w:type="dxa" w:w="4535"/>
          </w:tcPr>
          <w:p>
            <w:r/>
            <w:r>
              <w:rPr>
                <w:rFonts w:ascii="Arial" w:hAnsi="Arial" w:eastAsia="Arial"/>
                <w:b/>
                <w:i w:val="0"/>
                <w:sz w:val="20"/>
              </w:rPr>
              <w:t>Gross Weight &amp; Measurement</w:t>
            </w:r>
          </w:p>
          <w:p>
            <w:pPr>
              <w:spacing w:before="40"/>
            </w:pPr>
            <w:r>
              <w:rPr>
                <w:rFonts w:ascii="Arial" w:hAnsi="Arial" w:eastAsia="Arial"/>
                <w:b w:val="0"/>
                <w:i w:val="0"/>
                <w:color w:val="999999"/>
                <w:sz w:val="16"/>
              </w:rPr>
              <w:t>Fill in the total gross weight (kg) and total volume (cubic meters) of the goods, used to calculate freight and stowage, and must be accurate.</w:t>
            </w:r>
          </w:p>
        </w:tc>
        <w:tc>
          <w:tcPr>
            <w:tcW w:type="dxa" w:w="5102"/>
          </w:tcPr>
          <w:p>
            <w:r/>
          </w:p>
        </w:tc>
      </w:tr>
      <w:tr>
        <w:tc>
          <w:tcPr>
            <w:tcW w:type="dxa" w:w="4535"/>
          </w:tcPr>
          <w:p>
            <w:r/>
            <w:r>
              <w:rPr>
                <w:rFonts w:ascii="Arial" w:hAnsi="Arial" w:eastAsia="Arial"/>
                <w:b/>
                <w:i w:val="0"/>
                <w:sz w:val="20"/>
              </w:rPr>
              <w:t>Freight &amp; Charges</w:t>
            </w:r>
          </w:p>
          <w:p>
            <w:pPr>
              <w:spacing w:before="40"/>
            </w:pPr>
            <w:r>
              <w:rPr>
                <w:rFonts w:ascii="Arial" w:hAnsi="Arial" w:eastAsia="Arial"/>
                <w:b w:val="0"/>
                <w:i w:val="0"/>
                <w:color w:val="999999"/>
                <w:sz w:val="16"/>
              </w:rPr>
              <w:t>Indicate whether freight is prepaid (Freight Prepaid) or collect (Freight Collect), and it must match the trade term (such as FOB, CIF).</w:t>
            </w:r>
          </w:p>
        </w:tc>
        <w:tc>
          <w:tcPr>
            <w:tcW w:type="dxa" w:w="5102"/>
          </w:tcPr>
          <w:p>
            <w:r/>
          </w:p>
        </w:tc>
      </w:tr>
      <w:tr>
        <w:tc>
          <w:tcPr>
            <w:tcW w:type="dxa" w:w="4535"/>
          </w:tcPr>
          <w:p>
            <w:r/>
            <w:r>
              <w:rPr>
                <w:rFonts w:ascii="Arial" w:hAnsi="Arial" w:eastAsia="Arial"/>
                <w:b/>
                <w:i w:val="0"/>
                <w:sz w:val="20"/>
              </w:rPr>
              <w:t>Number of Original B/L</w:t>
            </w:r>
          </w:p>
          <w:p>
            <w:pPr>
              <w:spacing w:before="40"/>
            </w:pPr>
            <w:r>
              <w:rPr>
                <w:rFonts w:ascii="Arial" w:hAnsi="Arial" w:eastAsia="Arial"/>
                <w:b w:val="0"/>
                <w:i w:val="0"/>
                <w:color w:val="999999"/>
                <w:sz w:val="16"/>
              </w:rPr>
              <w:t>Fill in the number of original B/Ls issued, usually three, though letter of credit requirements may differ, and it must strictly follow the letter of credit provisions.</w:t>
            </w:r>
          </w:p>
        </w:tc>
        <w:tc>
          <w:tcPr>
            <w:tcW w:type="dxa" w:w="5102"/>
          </w:tcPr>
          <w:p>
            <w:r/>
          </w:p>
        </w:tc>
      </w:tr>
      <w:tr>
        <w:tc>
          <w:tcPr>
            <w:tcW w:type="dxa" w:w="4535"/>
          </w:tcPr>
          <w:p>
            <w:r/>
            <w:r>
              <w:rPr>
                <w:rFonts w:ascii="Arial" w:hAnsi="Arial" w:eastAsia="Arial"/>
                <w:b/>
                <w:i w:val="0"/>
                <w:sz w:val="20"/>
              </w:rPr>
              <w:t>Place &amp; Date of Issue</w:t>
            </w:r>
          </w:p>
          <w:p>
            <w:pPr>
              <w:spacing w:before="40"/>
            </w:pPr>
            <w:r>
              <w:rPr>
                <w:rFonts w:ascii="Arial" w:hAnsi="Arial" w:eastAsia="Arial"/>
                <w:b w:val="0"/>
                <w:i w:val="0"/>
                <w:color w:val="999999"/>
                <w:sz w:val="16"/>
              </w:rPr>
              <w:t>Fill in the place and date of B/L issuance. The date must not be later than the shipment period stipulated in the letter of credit, otherwise it constitutes a discrepancy.</w:t>
            </w:r>
          </w:p>
        </w:tc>
        <w:tc>
          <w:tcPr>
            <w:tcW w:type="dxa" w:w="5102"/>
          </w:tcPr>
          <w:p>
            <w:r/>
          </w:p>
        </w:tc>
      </w:tr>
      <w:tr>
        <w:tc>
          <w:tcPr>
            <w:tcW w:type="dxa" w:w="4535"/>
          </w:tcPr>
          <w:p>
            <w:r/>
            <w:r>
              <w:rPr>
                <w:rFonts w:ascii="Arial" w:hAnsi="Arial" w:eastAsia="Arial"/>
                <w:b/>
                <w:i w:val="0"/>
                <w:sz w:val="20"/>
              </w:rPr>
              <w:t>Signed for the Carrier</w:t>
            </w:r>
          </w:p>
          <w:p>
            <w:pPr>
              <w:spacing w:before="40"/>
            </w:pPr>
            <w:r>
              <w:rPr>
                <w:rFonts w:ascii="Arial" w:hAnsi="Arial" w:eastAsia="Arial"/>
                <w:b w:val="0"/>
                <w:i w:val="0"/>
                <w:color w:val="999999"/>
                <w:sz w:val="16"/>
              </w:rPr>
              <w:t>Signed and sealed by the carrier or its authorized agent, and the capacity must be indicated, such as "As Agent for the Carrier".</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