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Customs Declaration</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Pre-entry Number</w:t>
            </w:r>
          </w:p>
          <w:p>
            <w:pPr>
              <w:spacing w:before="40"/>
            </w:pPr>
            <w:r>
              <w:rPr>
                <w:rFonts w:ascii="Arial" w:hAnsi="Arial" w:eastAsia="Arial"/>
                <w:b w:val="0"/>
                <w:i w:val="0"/>
                <w:color w:val="999999"/>
                <w:sz w:val="16"/>
              </w:rPr>
              <w:t>A number automatically generated by the customs declaration pre-entry system, used for internal Customs association and inquiry. When filling in, ensure consistency with the system; manual modification is not allowed.</w:t>
            </w:r>
          </w:p>
        </w:tc>
        <w:tc>
          <w:tcPr>
            <w:tcW w:type="dxa" w:w="5102"/>
          </w:tcPr>
          <w:p>
            <w:r/>
          </w:p>
        </w:tc>
      </w:tr>
      <w:tr>
        <w:tc>
          <w:tcPr>
            <w:tcW w:type="dxa" w:w="4535"/>
          </w:tcPr>
          <w:p>
            <w:r/>
            <w:r>
              <w:rPr>
                <w:rFonts w:ascii="Arial" w:hAnsi="Arial" w:eastAsia="Arial"/>
                <w:b/>
                <w:i w:val="0"/>
                <w:sz w:val="20"/>
              </w:rPr>
              <w:t>Customs Number</w:t>
            </w:r>
          </w:p>
          <w:p>
            <w:pPr>
              <w:spacing w:before="40"/>
            </w:pPr>
            <w:r>
              <w:rPr>
                <w:rFonts w:ascii="Arial" w:hAnsi="Arial" w:eastAsia="Arial"/>
                <w:b w:val="0"/>
                <w:i w:val="0"/>
                <w:color w:val="999999"/>
                <w:sz w:val="16"/>
              </w:rPr>
              <w:t>A unique number generated after Customs accepts the declaration, usually 18 digits, used to track and inquire about declaration status. It must be accurately recorded for subsequent operations.</w:t>
            </w:r>
          </w:p>
        </w:tc>
        <w:tc>
          <w:tcPr>
            <w:tcW w:type="dxa" w:w="5102"/>
          </w:tcPr>
          <w:p>
            <w:r/>
          </w:p>
        </w:tc>
      </w:tr>
      <w:tr>
        <w:tc>
          <w:tcPr>
            <w:tcW w:type="dxa" w:w="4535"/>
          </w:tcPr>
          <w:p>
            <w:r/>
            <w:r>
              <w:rPr>
                <w:rFonts w:ascii="Arial" w:hAnsi="Arial" w:eastAsia="Arial"/>
                <w:b/>
                <w:i w:val="0"/>
                <w:sz w:val="20"/>
              </w:rPr>
              <w:t>Domestic Consignee/Consignor</w:t>
            </w:r>
          </w:p>
          <w:p>
            <w:pPr>
              <w:spacing w:before="40"/>
            </w:pPr>
            <w:r>
              <w:rPr>
                <w:rFonts w:ascii="Arial" w:hAnsi="Arial" w:eastAsia="Arial"/>
                <w:b w:val="0"/>
                <w:i w:val="0"/>
                <w:color w:val="999999"/>
                <w:sz w:val="16"/>
              </w:rPr>
              <w:t>Fill in the name and code of the domestic consignee/consignor registered with Customs, which must be consistent with the business license and Customs registration. Ensure the declaring entity is genuine and valid.</w:t>
            </w:r>
          </w:p>
        </w:tc>
        <w:tc>
          <w:tcPr>
            <w:tcW w:type="dxa" w:w="5102"/>
          </w:tcPr>
          <w:p>
            <w:r/>
          </w:p>
        </w:tc>
      </w:tr>
      <w:tr>
        <w:tc>
          <w:tcPr>
            <w:tcW w:type="dxa" w:w="4535"/>
          </w:tcPr>
          <w:p>
            <w:r/>
            <w:r>
              <w:rPr>
                <w:rFonts w:ascii="Arial" w:hAnsi="Arial" w:eastAsia="Arial"/>
                <w:b/>
                <w:i w:val="0"/>
                <w:sz w:val="20"/>
              </w:rPr>
              <w:t>Overseas Consignee/Consignor</w:t>
            </w:r>
          </w:p>
          <w:p>
            <w:pPr>
              <w:spacing w:before="40"/>
            </w:pPr>
            <w:r>
              <w:rPr>
                <w:rFonts w:ascii="Arial" w:hAnsi="Arial" w:eastAsia="Arial"/>
                <w:b w:val="0"/>
                <w:i w:val="0"/>
                <w:color w:val="999999"/>
                <w:sz w:val="16"/>
              </w:rPr>
              <w:t>Fill in the name of the actual overseas consignee/consignor, which may be in English. It must be consistent with documents such as contracts and invoices to facilitate Customs verification of the trade background.</w:t>
            </w:r>
          </w:p>
        </w:tc>
        <w:tc>
          <w:tcPr>
            <w:tcW w:type="dxa" w:w="5102"/>
          </w:tcPr>
          <w:p>
            <w:r/>
          </w:p>
        </w:tc>
      </w:tr>
      <w:tr>
        <w:tc>
          <w:tcPr>
            <w:tcW w:type="dxa" w:w="4535"/>
          </w:tcPr>
          <w:p>
            <w:r/>
            <w:r>
              <w:rPr>
                <w:rFonts w:ascii="Arial" w:hAnsi="Arial" w:eastAsia="Arial"/>
                <w:b/>
                <w:i w:val="0"/>
                <w:sz w:val="20"/>
              </w:rPr>
              <w:t>Production/Sales Unit</w:t>
            </w:r>
          </w:p>
          <w:p>
            <w:pPr>
              <w:spacing w:before="40"/>
            </w:pPr>
            <w:r>
              <w:rPr>
                <w:rFonts w:ascii="Arial" w:hAnsi="Arial" w:eastAsia="Arial"/>
                <w:b w:val="0"/>
                <w:i w:val="0"/>
                <w:color w:val="999999"/>
                <w:sz w:val="16"/>
              </w:rPr>
              <w:t>For export goods, fill in the production unit or sales unit, which must be consistent with the VAT invoice. Used for export tax refunds and origin verification.</w:t>
            </w:r>
          </w:p>
        </w:tc>
        <w:tc>
          <w:tcPr>
            <w:tcW w:type="dxa" w:w="5102"/>
          </w:tcPr>
          <w:p>
            <w:r/>
          </w:p>
        </w:tc>
      </w:tr>
      <w:tr>
        <w:tc>
          <w:tcPr>
            <w:tcW w:type="dxa" w:w="4535"/>
          </w:tcPr>
          <w:p>
            <w:r/>
            <w:r>
              <w:rPr>
                <w:rFonts w:ascii="Arial" w:hAnsi="Arial" w:eastAsia="Arial"/>
                <w:b/>
                <w:i w:val="0"/>
                <w:sz w:val="20"/>
              </w:rPr>
              <w:t>Declaring Unit</w:t>
            </w:r>
          </w:p>
          <w:p>
            <w:pPr>
              <w:spacing w:before="40"/>
            </w:pPr>
            <w:r>
              <w:rPr>
                <w:rFonts w:ascii="Arial" w:hAnsi="Arial" w:eastAsia="Arial"/>
                <w:b w:val="0"/>
                <w:i w:val="0"/>
                <w:color w:val="999999"/>
                <w:sz w:val="16"/>
              </w:rPr>
              <w:t>Fill in the name and code of the customs broker or declaring unit, which must have customs declaration qualifications. It bears legal responsibility for the authenticity of the declared content.</w:t>
            </w:r>
          </w:p>
        </w:tc>
        <w:tc>
          <w:tcPr>
            <w:tcW w:type="dxa" w:w="5102"/>
          </w:tcPr>
          <w:p>
            <w:r/>
          </w:p>
        </w:tc>
      </w:tr>
      <w:tr>
        <w:tc>
          <w:tcPr>
            <w:tcW w:type="dxa" w:w="4535"/>
          </w:tcPr>
          <w:p>
            <w:r/>
            <w:r>
              <w:rPr>
                <w:rFonts w:ascii="Arial" w:hAnsi="Arial" w:eastAsia="Arial"/>
                <w:b/>
                <w:i w:val="0"/>
                <w:sz w:val="20"/>
              </w:rPr>
              <w:t>Mode of Transport</w:t>
            </w:r>
          </w:p>
          <w:p>
            <w:pPr>
              <w:spacing w:before="40"/>
            </w:pPr>
            <w:r>
              <w:rPr>
                <w:rFonts w:ascii="Arial" w:hAnsi="Arial" w:eastAsia="Arial"/>
                <w:b w:val="0"/>
                <w:i w:val="0"/>
                <w:color w:val="999999"/>
                <w:sz w:val="16"/>
              </w:rPr>
              <w:t>Fill in according to the actual means of transport, such as sea, air, land, etc. It must be consistent with the bill of lading/waybill and affects Customs supervision and tax calculation.</w:t>
            </w:r>
          </w:p>
        </w:tc>
        <w:tc>
          <w:tcPr>
            <w:tcW w:type="dxa" w:w="5102"/>
          </w:tcPr>
          <w:p>
            <w:r/>
          </w:p>
        </w:tc>
      </w:tr>
      <w:tr>
        <w:tc>
          <w:tcPr>
            <w:tcW w:type="dxa" w:w="4535"/>
          </w:tcPr>
          <w:p>
            <w:r/>
            <w:r>
              <w:rPr>
                <w:rFonts w:ascii="Arial" w:hAnsi="Arial" w:eastAsia="Arial"/>
                <w:b/>
                <w:i w:val="0"/>
                <w:sz w:val="20"/>
              </w:rPr>
              <w:t>Name of Means of Transport</w:t>
            </w:r>
          </w:p>
          <w:p>
            <w:pPr>
              <w:spacing w:before="40"/>
            </w:pPr>
            <w:r>
              <w:rPr>
                <w:rFonts w:ascii="Arial" w:hAnsi="Arial" w:eastAsia="Arial"/>
                <w:b w:val="0"/>
                <w:i w:val="0"/>
                <w:color w:val="999999"/>
                <w:sz w:val="16"/>
              </w:rPr>
              <w:t>Fill in the vessel name, flight number, or license plate number, etc., which must be consistent with the manifest. Used by Customs to confirm the actual transport information of the goods.</w:t>
            </w:r>
          </w:p>
        </w:tc>
        <w:tc>
          <w:tcPr>
            <w:tcW w:type="dxa" w:w="5102"/>
          </w:tcPr>
          <w:p>
            <w:r/>
          </w:p>
        </w:tc>
      </w:tr>
      <w:tr>
        <w:tc>
          <w:tcPr>
            <w:tcW w:type="dxa" w:w="4535"/>
          </w:tcPr>
          <w:p>
            <w:r/>
            <w:r>
              <w:rPr>
                <w:rFonts w:ascii="Arial" w:hAnsi="Arial" w:eastAsia="Arial"/>
                <w:b/>
                <w:i w:val="0"/>
                <w:sz w:val="20"/>
              </w:rPr>
              <w:t>Bill of Lading/Waybill Number</w:t>
            </w:r>
          </w:p>
          <w:p>
            <w:pPr>
              <w:spacing w:before="40"/>
            </w:pPr>
            <w:r>
              <w:rPr>
                <w:rFonts w:ascii="Arial" w:hAnsi="Arial" w:eastAsia="Arial"/>
                <w:b w:val="0"/>
                <w:i w:val="0"/>
                <w:color w:val="999999"/>
                <w:sz w:val="16"/>
              </w:rPr>
              <w:t>Fill in the bill of lading or waybill number, which must be consistent with the transport documents. It is a key field for Customs to verify goods and the manifest.</w:t>
            </w:r>
          </w:p>
        </w:tc>
        <w:tc>
          <w:tcPr>
            <w:tcW w:type="dxa" w:w="5102"/>
          </w:tcPr>
          <w:p>
            <w:r/>
          </w:p>
        </w:tc>
      </w:tr>
      <w:tr>
        <w:tc>
          <w:tcPr>
            <w:tcW w:type="dxa" w:w="4535"/>
          </w:tcPr>
          <w:p>
            <w:r/>
            <w:r>
              <w:rPr>
                <w:rFonts w:ascii="Arial" w:hAnsi="Arial" w:eastAsia="Arial"/>
                <w:b/>
                <w:i w:val="0"/>
                <w:sz w:val="20"/>
              </w:rPr>
              <w:t>Trade Mode</w:t>
            </w:r>
          </w:p>
          <w:p>
            <w:pPr>
              <w:spacing w:before="40"/>
            </w:pPr>
            <w:r>
              <w:rPr>
                <w:rFonts w:ascii="Arial" w:hAnsi="Arial" w:eastAsia="Arial"/>
                <w:b w:val="0"/>
                <w:i w:val="0"/>
                <w:color w:val="999999"/>
                <w:sz w:val="16"/>
              </w:rPr>
              <w:t>Fill in according to the actual transaction, such as general trade, processing with imported materials, processing with supplied materials, etc. Different trade modes correspond to different supervision and tax policies.</w:t>
            </w:r>
          </w:p>
        </w:tc>
        <w:tc>
          <w:tcPr>
            <w:tcW w:type="dxa" w:w="5102"/>
          </w:tcPr>
          <w:p>
            <w:r/>
          </w:p>
        </w:tc>
      </w:tr>
      <w:tr>
        <w:tc>
          <w:tcPr>
            <w:tcW w:type="dxa" w:w="4535"/>
          </w:tcPr>
          <w:p>
            <w:r/>
            <w:r>
              <w:rPr>
                <w:rFonts w:ascii="Arial" w:hAnsi="Arial" w:eastAsia="Arial"/>
                <w:b/>
                <w:i w:val="0"/>
                <w:sz w:val="20"/>
              </w:rPr>
              <w:t>Nature of Levy/Exemption</w:t>
            </w:r>
          </w:p>
          <w:p>
            <w:pPr>
              <w:spacing w:before="40"/>
            </w:pPr>
            <w:r>
              <w:rPr>
                <w:rFonts w:ascii="Arial" w:hAnsi="Arial" w:eastAsia="Arial"/>
                <w:b w:val="0"/>
                <w:i w:val="0"/>
                <w:color w:val="999999"/>
                <w:sz w:val="16"/>
              </w:rPr>
              <w:t>Fill in the Customs levy/exemption nature code, such as general taxation, encouraged projects, etc. It determines the collection or reduction/exemption of tariffs and import-related taxes.</w:t>
            </w:r>
          </w:p>
        </w:tc>
        <w:tc>
          <w:tcPr>
            <w:tcW w:type="dxa" w:w="5102"/>
          </w:tcPr>
          <w:p>
            <w:r/>
          </w:p>
        </w:tc>
      </w:tr>
      <w:tr>
        <w:tc>
          <w:tcPr>
            <w:tcW w:type="dxa" w:w="4535"/>
          </w:tcPr>
          <w:p>
            <w:r/>
            <w:r>
              <w:rPr>
                <w:rFonts w:ascii="Arial" w:hAnsi="Arial" w:eastAsia="Arial"/>
                <w:b/>
                <w:i w:val="0"/>
                <w:sz w:val="20"/>
              </w:rPr>
              <w:t>License Number</w:t>
            </w:r>
          </w:p>
          <w:p>
            <w:pPr>
              <w:spacing w:before="40"/>
            </w:pPr>
            <w:r>
              <w:rPr>
                <w:rFonts w:ascii="Arial" w:hAnsi="Arial" w:eastAsia="Arial"/>
                <w:b w:val="0"/>
                <w:i w:val="0"/>
                <w:color w:val="999999"/>
                <w:sz w:val="16"/>
              </w:rPr>
              <w:t>If import licenses, export licenses, etc. are involved, fill in the corresponding number. Import and export without a license will face penalties.</w:t>
            </w:r>
          </w:p>
        </w:tc>
        <w:tc>
          <w:tcPr>
            <w:tcW w:type="dxa" w:w="5102"/>
          </w:tcPr>
          <w:p>
            <w:r/>
          </w:p>
        </w:tc>
      </w:tr>
      <w:tr>
        <w:tc>
          <w:tcPr>
            <w:tcW w:type="dxa" w:w="4535"/>
          </w:tcPr>
          <w:p>
            <w:r/>
            <w:r>
              <w:rPr>
                <w:rFonts w:ascii="Arial" w:hAnsi="Arial" w:eastAsia="Arial"/>
                <w:b/>
                <w:i w:val="0"/>
                <w:sz w:val="20"/>
              </w:rPr>
              <w:t>Number of Packages</w:t>
            </w:r>
          </w:p>
          <w:p>
            <w:pPr>
              <w:spacing w:before="40"/>
            </w:pPr>
            <w:r>
              <w:rPr>
                <w:rFonts w:ascii="Arial" w:hAnsi="Arial" w:eastAsia="Arial"/>
                <w:b w:val="0"/>
                <w:i w:val="0"/>
                <w:color w:val="999999"/>
                <w:sz w:val="16"/>
              </w:rPr>
              <w:t>Fill in the total number of packages of goods, which must be consistent with the packing list. It is basic data for Customs inspection and statistics.</w:t>
            </w:r>
          </w:p>
        </w:tc>
        <w:tc>
          <w:tcPr>
            <w:tcW w:type="dxa" w:w="5102"/>
          </w:tcPr>
          <w:p>
            <w:r/>
          </w:p>
        </w:tc>
      </w:tr>
      <w:tr>
        <w:tc>
          <w:tcPr>
            <w:tcW w:type="dxa" w:w="4535"/>
          </w:tcPr>
          <w:p>
            <w:r/>
            <w:r>
              <w:rPr>
                <w:rFonts w:ascii="Arial" w:hAnsi="Arial" w:eastAsia="Arial"/>
                <w:b/>
                <w:i w:val="0"/>
                <w:sz w:val="20"/>
              </w:rPr>
              <w:t>Type of Packaging</w:t>
            </w:r>
          </w:p>
          <w:p>
            <w:pPr>
              <w:spacing w:before="40"/>
            </w:pPr>
            <w:r>
              <w:rPr>
                <w:rFonts w:ascii="Arial" w:hAnsi="Arial" w:eastAsia="Arial"/>
                <w:b w:val="0"/>
                <w:i w:val="0"/>
                <w:color w:val="999999"/>
                <w:sz w:val="16"/>
              </w:rPr>
              <w:t>Fill in the outer packaging type of the goods, such as cartons, wooden cases, pallets, etc. It affects Customs inspection methods and quarantine requirements.</w:t>
            </w:r>
          </w:p>
        </w:tc>
        <w:tc>
          <w:tcPr>
            <w:tcW w:type="dxa" w:w="5102"/>
          </w:tcPr>
          <w:p>
            <w:r/>
          </w:p>
        </w:tc>
      </w:tr>
      <w:tr>
        <w:tc>
          <w:tcPr>
            <w:tcW w:type="dxa" w:w="4535"/>
          </w:tcPr>
          <w:p>
            <w:r/>
            <w:r>
              <w:rPr>
                <w:rFonts w:ascii="Arial" w:hAnsi="Arial" w:eastAsia="Arial"/>
                <w:b/>
                <w:i w:val="0"/>
                <w:sz w:val="20"/>
              </w:rPr>
              <w:t>Gross Weight</w:t>
            </w:r>
          </w:p>
          <w:p>
            <w:pPr>
              <w:spacing w:before="40"/>
            </w:pPr>
            <w:r>
              <w:rPr>
                <w:rFonts w:ascii="Arial" w:hAnsi="Arial" w:eastAsia="Arial"/>
                <w:b w:val="0"/>
                <w:i w:val="0"/>
                <w:color w:val="999999"/>
                <w:sz w:val="16"/>
              </w:rPr>
              <w:t>Fill in the total gross weight of the goods (kg), which must be consistent with the packing list. Used for transport, warehousing, and Customs supervision.</w:t>
            </w:r>
          </w:p>
        </w:tc>
        <w:tc>
          <w:tcPr>
            <w:tcW w:type="dxa" w:w="5102"/>
          </w:tcPr>
          <w:p>
            <w:r/>
          </w:p>
        </w:tc>
      </w:tr>
      <w:tr>
        <w:tc>
          <w:tcPr>
            <w:tcW w:type="dxa" w:w="4535"/>
          </w:tcPr>
          <w:p>
            <w:r/>
            <w:r>
              <w:rPr>
                <w:rFonts w:ascii="Arial" w:hAnsi="Arial" w:eastAsia="Arial"/>
                <w:b/>
                <w:i w:val="0"/>
                <w:sz w:val="20"/>
              </w:rPr>
              <w:t>Net Weight</w:t>
            </w:r>
          </w:p>
          <w:p>
            <w:pPr>
              <w:spacing w:before="40"/>
            </w:pPr>
            <w:r>
              <w:rPr>
                <w:rFonts w:ascii="Arial" w:hAnsi="Arial" w:eastAsia="Arial"/>
                <w:b w:val="0"/>
                <w:i w:val="0"/>
                <w:color w:val="999999"/>
                <w:sz w:val="16"/>
              </w:rPr>
              <w:t>Fill in the net weight of the goods (kg), which must be consistent with the packing list. Used for Customs taxation and statistics.</w:t>
            </w:r>
          </w:p>
        </w:tc>
        <w:tc>
          <w:tcPr>
            <w:tcW w:type="dxa" w:w="5102"/>
          </w:tcPr>
          <w:p>
            <w:r/>
          </w:p>
        </w:tc>
      </w:tr>
      <w:tr>
        <w:tc>
          <w:tcPr>
            <w:tcW w:type="dxa" w:w="4535"/>
          </w:tcPr>
          <w:p>
            <w:r/>
            <w:r>
              <w:rPr>
                <w:rFonts w:ascii="Arial" w:hAnsi="Arial" w:eastAsia="Arial"/>
                <w:b/>
                <w:i w:val="0"/>
                <w:sz w:val="20"/>
              </w:rPr>
              <w:t>Terms of Transaction</w:t>
            </w:r>
          </w:p>
          <w:p>
            <w:pPr>
              <w:spacing w:before="40"/>
            </w:pPr>
            <w:r>
              <w:rPr>
                <w:rFonts w:ascii="Arial" w:hAnsi="Arial" w:eastAsia="Arial"/>
                <w:b w:val="0"/>
                <w:i w:val="0"/>
                <w:color w:val="999999"/>
                <w:sz w:val="16"/>
              </w:rPr>
              <w:t>Fill in the trade terms stipulated in the contract, such as FOB, CIF, EXW, etc. It determines the declaration method of freight and insurance premiums.</w:t>
            </w:r>
          </w:p>
        </w:tc>
        <w:tc>
          <w:tcPr>
            <w:tcW w:type="dxa" w:w="5102"/>
          </w:tcPr>
          <w:p>
            <w:r/>
          </w:p>
        </w:tc>
      </w:tr>
      <w:tr>
        <w:tc>
          <w:tcPr>
            <w:tcW w:type="dxa" w:w="4535"/>
          </w:tcPr>
          <w:p>
            <w:r/>
            <w:r>
              <w:rPr>
                <w:rFonts w:ascii="Arial" w:hAnsi="Arial" w:eastAsia="Arial"/>
                <w:b/>
                <w:i w:val="0"/>
                <w:sz w:val="20"/>
              </w:rPr>
              <w:t>Freight</w:t>
            </w:r>
          </w:p>
          <w:p>
            <w:pPr>
              <w:spacing w:before="40"/>
            </w:pPr>
            <w:r>
              <w:rPr>
                <w:rFonts w:ascii="Arial" w:hAnsi="Arial" w:eastAsia="Arial"/>
                <w:b w:val="0"/>
                <w:i w:val="0"/>
                <w:color w:val="999999"/>
                <w:sz w:val="16"/>
              </w:rPr>
              <w:t>Fill in the freight amount or mark according to the terms of transaction. It must be consistent with the invoice and contract and is used to calculate the dutiable value.</w:t>
            </w:r>
          </w:p>
        </w:tc>
        <w:tc>
          <w:tcPr>
            <w:tcW w:type="dxa" w:w="5102"/>
          </w:tcPr>
          <w:p>
            <w:r/>
          </w:p>
        </w:tc>
      </w:tr>
      <w:tr>
        <w:tc>
          <w:tcPr>
            <w:tcW w:type="dxa" w:w="4535"/>
          </w:tcPr>
          <w:p>
            <w:r/>
            <w:r>
              <w:rPr>
                <w:rFonts w:ascii="Arial" w:hAnsi="Arial" w:eastAsia="Arial"/>
                <w:b/>
                <w:i w:val="0"/>
                <w:sz w:val="20"/>
              </w:rPr>
              <w:t>Insurance Premium</w:t>
            </w:r>
          </w:p>
          <w:p>
            <w:pPr>
              <w:spacing w:before="40"/>
            </w:pPr>
            <w:r>
              <w:rPr>
                <w:rFonts w:ascii="Arial" w:hAnsi="Arial" w:eastAsia="Arial"/>
                <w:b w:val="0"/>
                <w:i w:val="0"/>
                <w:color w:val="999999"/>
                <w:sz w:val="16"/>
              </w:rPr>
              <w:t>Fill in the insurance premium amount or mark according to the terms of transaction. It must be consistent with the invoice and contract and is used to calculate the dutiable value.</w:t>
            </w:r>
          </w:p>
        </w:tc>
        <w:tc>
          <w:tcPr>
            <w:tcW w:type="dxa" w:w="5102"/>
          </w:tcPr>
          <w:p>
            <w:r/>
          </w:p>
        </w:tc>
      </w:tr>
      <w:tr>
        <w:tc>
          <w:tcPr>
            <w:tcW w:type="dxa" w:w="4535"/>
          </w:tcPr>
          <w:p>
            <w:r/>
            <w:r>
              <w:rPr>
                <w:rFonts w:ascii="Arial" w:hAnsi="Arial" w:eastAsia="Arial"/>
                <w:b/>
                <w:i w:val="0"/>
                <w:sz w:val="20"/>
              </w:rPr>
              <w:t>Miscellaneous Charges</w:t>
            </w:r>
          </w:p>
          <w:p>
            <w:pPr>
              <w:spacing w:before="40"/>
            </w:pPr>
            <w:r>
              <w:rPr>
                <w:rFonts w:ascii="Arial" w:hAnsi="Arial" w:eastAsia="Arial"/>
                <w:b w:val="0"/>
                <w:i w:val="0"/>
                <w:color w:val="999999"/>
                <w:sz w:val="16"/>
              </w:rPr>
              <w:t>Fill in other charges besides freight and insurance premium, such as commission, packaging fees, etc. They must be truthfully declared and affect the dutiable value.</w:t>
            </w:r>
          </w:p>
        </w:tc>
        <w:tc>
          <w:tcPr>
            <w:tcW w:type="dxa" w:w="5102"/>
          </w:tcPr>
          <w:p>
            <w:r/>
          </w:p>
        </w:tc>
      </w:tr>
      <w:tr>
        <w:tc>
          <w:tcPr>
            <w:tcW w:type="dxa" w:w="4535"/>
          </w:tcPr>
          <w:p>
            <w:r/>
            <w:r>
              <w:rPr>
                <w:rFonts w:ascii="Arial" w:hAnsi="Arial" w:eastAsia="Arial"/>
                <w:b/>
                <w:i w:val="0"/>
                <w:sz w:val="20"/>
              </w:rPr>
              <w:t>Commodity Code</w:t>
            </w:r>
          </w:p>
          <w:p>
            <w:pPr>
              <w:spacing w:before="40"/>
            </w:pPr>
            <w:r>
              <w:rPr>
                <w:rFonts w:ascii="Arial" w:hAnsi="Arial" w:eastAsia="Arial"/>
                <w:b w:val="0"/>
                <w:i w:val="0"/>
                <w:color w:val="999999"/>
                <w:sz w:val="16"/>
              </w:rPr>
              <w:t>Fill in the Customs commodity code (HS code), which must be determined according to the actual attributes of the goods. It is the basis for Customs classification, taxation, and supervision.</w:t>
            </w:r>
          </w:p>
        </w:tc>
        <w:tc>
          <w:tcPr>
            <w:tcW w:type="dxa" w:w="5102"/>
          </w:tcPr>
          <w:p>
            <w:r/>
          </w:p>
        </w:tc>
      </w:tr>
      <w:tr>
        <w:tc>
          <w:tcPr>
            <w:tcW w:type="dxa" w:w="4535"/>
          </w:tcPr>
          <w:p>
            <w:r/>
            <w:r>
              <w:rPr>
                <w:rFonts w:ascii="Arial" w:hAnsi="Arial" w:eastAsia="Arial"/>
                <w:b/>
                <w:i w:val="0"/>
                <w:sz w:val="20"/>
              </w:rPr>
              <w:t>Commodity Name</w:t>
            </w:r>
          </w:p>
          <w:p>
            <w:pPr>
              <w:spacing w:before="40"/>
            </w:pPr>
            <w:r>
              <w:rPr>
                <w:rFonts w:ascii="Arial" w:hAnsi="Arial" w:eastAsia="Arial"/>
                <w:b w:val="0"/>
                <w:i w:val="0"/>
                <w:color w:val="999999"/>
                <w:sz w:val="16"/>
              </w:rPr>
              <w:t>Fill in the standardized Chinese or English name of the goods, which must match the HS code. It should be detailed and specific, avoiding generalities.</w:t>
            </w:r>
          </w:p>
        </w:tc>
        <w:tc>
          <w:tcPr>
            <w:tcW w:type="dxa" w:w="5102"/>
          </w:tcPr>
          <w:p>
            <w:r/>
          </w:p>
        </w:tc>
      </w:tr>
      <w:tr>
        <w:tc>
          <w:tcPr>
            <w:tcW w:type="dxa" w:w="4535"/>
          </w:tcPr>
          <w:p>
            <w:r/>
            <w:r>
              <w:rPr>
                <w:rFonts w:ascii="Arial" w:hAnsi="Arial" w:eastAsia="Arial"/>
                <w:b/>
                <w:i w:val="0"/>
                <w:sz w:val="20"/>
              </w:rPr>
              <w:t>Specifications and Models</w:t>
            </w:r>
          </w:p>
          <w:p>
            <w:pPr>
              <w:spacing w:before="40"/>
            </w:pPr>
            <w:r>
              <w:rPr>
                <w:rFonts w:ascii="Arial" w:hAnsi="Arial" w:eastAsia="Arial"/>
                <w:b w:val="0"/>
                <w:i w:val="0"/>
                <w:color w:val="999999"/>
                <w:sz w:val="16"/>
              </w:rPr>
              <w:t>Fill in the specifications, models, ingredients, content, etc. of the goods, which must be consistent with the actual goods. Used for Customs classification and valuation.</w:t>
            </w:r>
          </w:p>
        </w:tc>
        <w:tc>
          <w:tcPr>
            <w:tcW w:type="dxa" w:w="5102"/>
          </w:tcPr>
          <w:p>
            <w:r/>
          </w:p>
        </w:tc>
      </w:tr>
      <w:tr>
        <w:tc>
          <w:tcPr>
            <w:tcW w:type="dxa" w:w="4535"/>
          </w:tcPr>
          <w:p>
            <w:r/>
            <w:r>
              <w:rPr>
                <w:rFonts w:ascii="Arial" w:hAnsi="Arial" w:eastAsia="Arial"/>
                <w:b/>
                <w:i w:val="0"/>
                <w:sz w:val="20"/>
              </w:rPr>
              <w:t>Quantity and Unit</w:t>
            </w:r>
          </w:p>
          <w:p>
            <w:pPr>
              <w:spacing w:before="40"/>
            </w:pPr>
            <w:r>
              <w:rPr>
                <w:rFonts w:ascii="Arial" w:hAnsi="Arial" w:eastAsia="Arial"/>
                <w:b w:val="0"/>
                <w:i w:val="0"/>
                <w:color w:val="999999"/>
                <w:sz w:val="16"/>
              </w:rPr>
              <w:t>Fill in the transaction quantity and legal unit of measurement, which must be consistent with the invoice and packing list. It is key to Customs taxation and statistics.</w:t>
            </w:r>
          </w:p>
        </w:tc>
        <w:tc>
          <w:tcPr>
            <w:tcW w:type="dxa" w:w="5102"/>
          </w:tcPr>
          <w:p>
            <w:r/>
          </w:p>
        </w:tc>
      </w:tr>
      <w:tr>
        <w:tc>
          <w:tcPr>
            <w:tcW w:type="dxa" w:w="4535"/>
          </w:tcPr>
          <w:p>
            <w:r/>
            <w:r>
              <w:rPr>
                <w:rFonts w:ascii="Arial" w:hAnsi="Arial" w:eastAsia="Arial"/>
                <w:b/>
                <w:i w:val="0"/>
                <w:sz w:val="20"/>
              </w:rPr>
              <w:t>Country (Region) of Origin</w:t>
            </w:r>
          </w:p>
          <w:p>
            <w:pPr>
              <w:spacing w:before="40"/>
            </w:pPr>
            <w:r>
              <w:rPr>
                <w:rFonts w:ascii="Arial" w:hAnsi="Arial" w:eastAsia="Arial"/>
                <w:b w:val="0"/>
                <w:i w:val="0"/>
                <w:color w:val="999999"/>
                <w:sz w:val="16"/>
              </w:rPr>
              <w:t>Fill in the country of origin of the goods, which must be determined according to the rules of origin. It affects tariff rates and trade controls.</w:t>
            </w:r>
          </w:p>
        </w:tc>
        <w:tc>
          <w:tcPr>
            <w:tcW w:type="dxa" w:w="5102"/>
          </w:tcPr>
          <w:p>
            <w:r/>
          </w:p>
        </w:tc>
      </w:tr>
      <w:tr>
        <w:tc>
          <w:tcPr>
            <w:tcW w:type="dxa" w:w="4535"/>
          </w:tcPr>
          <w:p>
            <w:r/>
            <w:r>
              <w:rPr>
                <w:rFonts w:ascii="Arial" w:hAnsi="Arial" w:eastAsia="Arial"/>
                <w:b/>
                <w:i w:val="0"/>
                <w:sz w:val="20"/>
              </w:rPr>
              <w:t>Final Destination Country (Region)</w:t>
            </w:r>
          </w:p>
          <w:p>
            <w:pPr>
              <w:spacing w:before="40"/>
            </w:pPr>
            <w:r>
              <w:rPr>
                <w:rFonts w:ascii="Arial" w:hAnsi="Arial" w:eastAsia="Arial"/>
                <w:b w:val="0"/>
                <w:i w:val="0"/>
                <w:color w:val="999999"/>
                <w:sz w:val="16"/>
              </w:rPr>
              <w:t>Fill in the final destination country of the goods, which must be consistent with the contract. Used for Customs statistics and trade controls.</w:t>
            </w:r>
          </w:p>
        </w:tc>
        <w:tc>
          <w:tcPr>
            <w:tcW w:type="dxa" w:w="5102"/>
          </w:tcPr>
          <w:p>
            <w:r/>
          </w:p>
        </w:tc>
      </w:tr>
      <w:tr>
        <w:tc>
          <w:tcPr>
            <w:tcW w:type="dxa" w:w="4535"/>
          </w:tcPr>
          <w:p>
            <w:r/>
            <w:r>
              <w:rPr>
                <w:rFonts w:ascii="Arial" w:hAnsi="Arial" w:eastAsia="Arial"/>
                <w:b/>
                <w:i w:val="0"/>
                <w:sz w:val="20"/>
              </w:rPr>
              <w:t>Unit Price</w:t>
            </w:r>
          </w:p>
          <w:p>
            <w:pPr>
              <w:spacing w:before="40"/>
            </w:pPr>
            <w:r>
              <w:rPr>
                <w:rFonts w:ascii="Arial" w:hAnsi="Arial" w:eastAsia="Arial"/>
                <w:b w:val="0"/>
                <w:i w:val="0"/>
                <w:color w:val="999999"/>
                <w:sz w:val="16"/>
              </w:rPr>
              <w:t>Fill in the transaction unit price, which must be consistent with the invoice. Used for Customs valuation and taxation.</w:t>
            </w:r>
          </w:p>
        </w:tc>
        <w:tc>
          <w:tcPr>
            <w:tcW w:type="dxa" w:w="5102"/>
          </w:tcPr>
          <w:p>
            <w:r/>
          </w:p>
        </w:tc>
      </w:tr>
      <w:tr>
        <w:tc>
          <w:tcPr>
            <w:tcW w:type="dxa" w:w="4535"/>
          </w:tcPr>
          <w:p>
            <w:r/>
            <w:r>
              <w:rPr>
                <w:rFonts w:ascii="Arial" w:hAnsi="Arial" w:eastAsia="Arial"/>
                <w:b/>
                <w:i w:val="0"/>
                <w:sz w:val="20"/>
              </w:rPr>
              <w:t>Total Price</w:t>
            </w:r>
          </w:p>
          <w:p>
            <w:pPr>
              <w:spacing w:before="40"/>
            </w:pPr>
            <w:r>
              <w:rPr>
                <w:rFonts w:ascii="Arial" w:hAnsi="Arial" w:eastAsia="Arial"/>
                <w:b w:val="0"/>
                <w:i w:val="0"/>
                <w:color w:val="999999"/>
                <w:sz w:val="16"/>
              </w:rPr>
              <w:t>Fill in the total transaction price, which must be consistent with the invoice. It is the main basis for Customs valuation and taxation.</w:t>
            </w:r>
          </w:p>
        </w:tc>
        <w:tc>
          <w:tcPr>
            <w:tcW w:type="dxa" w:w="5102"/>
          </w:tcPr>
          <w:p>
            <w:r/>
          </w:p>
        </w:tc>
      </w:tr>
      <w:tr>
        <w:tc>
          <w:tcPr>
            <w:tcW w:type="dxa" w:w="4535"/>
          </w:tcPr>
          <w:p>
            <w:r/>
            <w:r>
              <w:rPr>
                <w:rFonts w:ascii="Arial" w:hAnsi="Arial" w:eastAsia="Arial"/>
                <w:b/>
                <w:i w:val="0"/>
                <w:sz w:val="20"/>
              </w:rPr>
              <w:t>Currency</w:t>
            </w:r>
          </w:p>
          <w:p>
            <w:pPr>
              <w:spacing w:before="40"/>
            </w:pPr>
            <w:r>
              <w:rPr>
                <w:rFonts w:ascii="Arial" w:hAnsi="Arial" w:eastAsia="Arial"/>
                <w:b w:val="0"/>
                <w:i w:val="0"/>
                <w:color w:val="999999"/>
                <w:sz w:val="16"/>
              </w:rPr>
              <w:t>Fill in the transaction currency, such as USD, EUR, CNY, etc. It must be consistent with the invoice and is used for exchange rate conversion and taxation.</w:t>
            </w:r>
          </w:p>
        </w:tc>
        <w:tc>
          <w:tcPr>
            <w:tcW w:type="dxa" w:w="5102"/>
          </w:tcPr>
          <w:p>
            <w:r/>
          </w:p>
        </w:tc>
      </w:tr>
      <w:tr>
        <w:tc>
          <w:tcPr>
            <w:tcW w:type="dxa" w:w="4535"/>
          </w:tcPr>
          <w:p>
            <w:r/>
            <w:r>
              <w:rPr>
                <w:rFonts w:ascii="Arial" w:hAnsi="Arial" w:eastAsia="Arial"/>
                <w:b/>
                <w:i w:val="0"/>
                <w:sz w:val="20"/>
              </w:rPr>
              <w:t>Levy/Exemption</w:t>
            </w:r>
          </w:p>
          <w:p>
            <w:pPr>
              <w:spacing w:before="40"/>
            </w:pPr>
            <w:r>
              <w:rPr>
                <w:rFonts w:ascii="Arial" w:hAnsi="Arial" w:eastAsia="Arial"/>
                <w:b w:val="0"/>
                <w:i w:val="0"/>
                <w:color w:val="999999"/>
                <w:sz w:val="16"/>
              </w:rPr>
              <w:t>Fill in the levy/exemption method, such as taxation according to regulations, full exemption, half reduction, etc. It must be accurately filled in according to policies.</w:t>
            </w:r>
          </w:p>
        </w:tc>
        <w:tc>
          <w:tcPr>
            <w:tcW w:type="dxa" w:w="5102"/>
          </w:tcPr>
          <w:p>
            <w:r/>
          </w:p>
        </w:tc>
      </w:tr>
      <w:tr>
        <w:tc>
          <w:tcPr>
            <w:tcW w:type="dxa" w:w="4535"/>
          </w:tcPr>
          <w:p>
            <w:r/>
            <w:r>
              <w:rPr>
                <w:rFonts w:ascii="Arial" w:hAnsi="Arial" w:eastAsia="Arial"/>
                <w:b/>
                <w:i w:val="0"/>
                <w:sz w:val="20"/>
              </w:rPr>
              <w:t>Declaration Date</w:t>
            </w:r>
          </w:p>
          <w:p>
            <w:pPr>
              <w:spacing w:before="40"/>
            </w:pPr>
            <w:r>
              <w:rPr>
                <w:rFonts w:ascii="Arial" w:hAnsi="Arial" w:eastAsia="Arial"/>
                <w:b w:val="0"/>
                <w:i w:val="0"/>
                <w:color w:val="999999"/>
                <w:sz w:val="16"/>
              </w:rPr>
              <w:t>Fill in the date when Customs accepts the declaration, automatically generated by the system or manually filled in. It affects the applicable exchange rate and tax rate.</w:t>
            </w:r>
          </w:p>
        </w:tc>
        <w:tc>
          <w:tcPr>
            <w:tcW w:type="dxa" w:w="5102"/>
          </w:tcPr>
          <w:p>
            <w:r/>
          </w:p>
        </w:tc>
      </w:tr>
      <w:tr>
        <w:tc>
          <w:tcPr>
            <w:tcW w:type="dxa" w:w="4535"/>
          </w:tcPr>
          <w:p>
            <w:r/>
            <w:r>
              <w:rPr>
                <w:rFonts w:ascii="Arial" w:hAnsi="Arial" w:eastAsia="Arial"/>
                <w:b/>
                <w:i w:val="0"/>
                <w:sz w:val="20"/>
              </w:rPr>
              <w:t>Record Number</w:t>
            </w:r>
          </w:p>
          <w:p>
            <w:pPr>
              <w:spacing w:before="40"/>
            </w:pPr>
            <w:r>
              <w:rPr>
                <w:rFonts w:ascii="Arial" w:hAnsi="Arial" w:eastAsia="Arial"/>
                <w:b w:val="0"/>
                <w:i w:val="0"/>
                <w:color w:val="999999"/>
                <w:sz w:val="16"/>
              </w:rPr>
              <w:t>Fill in the record number of processing trade manuals, tax exemption certificates, etc. Without a record number, the corresponding policy cannot be applied.</w:t>
            </w:r>
          </w:p>
        </w:tc>
        <w:tc>
          <w:tcPr>
            <w:tcW w:type="dxa" w:w="5102"/>
          </w:tcPr>
          <w:p>
            <w:r/>
          </w:p>
        </w:tc>
      </w:tr>
      <w:tr>
        <w:tc>
          <w:tcPr>
            <w:tcW w:type="dxa" w:w="4535"/>
          </w:tcPr>
          <w:p>
            <w:r/>
            <w:r>
              <w:rPr>
                <w:rFonts w:ascii="Arial" w:hAnsi="Arial" w:eastAsia="Arial"/>
                <w:b/>
                <w:i w:val="0"/>
                <w:sz w:val="20"/>
              </w:rPr>
              <w:t>Contract/Agreement Number</w:t>
            </w:r>
          </w:p>
          <w:p>
            <w:pPr>
              <w:spacing w:before="40"/>
            </w:pPr>
            <w:r>
              <w:rPr>
                <w:rFonts w:ascii="Arial" w:hAnsi="Arial" w:eastAsia="Arial"/>
                <w:b w:val="0"/>
                <w:i w:val="0"/>
                <w:color w:val="999999"/>
                <w:sz w:val="16"/>
              </w:rPr>
              <w:t>Fill in the import and export contract or agreement number, which must be consistent with the contract. Used by Customs to verify the authenticity of trade.</w:t>
            </w:r>
          </w:p>
        </w:tc>
        <w:tc>
          <w:tcPr>
            <w:tcW w:type="dxa" w:w="5102"/>
          </w:tcPr>
          <w:p>
            <w:r/>
          </w:p>
        </w:tc>
      </w:tr>
      <w:tr>
        <w:tc>
          <w:tcPr>
            <w:tcW w:type="dxa" w:w="4535"/>
          </w:tcPr>
          <w:p>
            <w:r/>
            <w:r>
              <w:rPr>
                <w:rFonts w:ascii="Arial" w:hAnsi="Arial" w:eastAsia="Arial"/>
                <w:b/>
                <w:i w:val="0"/>
                <w:sz w:val="20"/>
              </w:rPr>
              <w:t>Attached Documents</w:t>
            </w:r>
          </w:p>
          <w:p>
            <w:pPr>
              <w:spacing w:before="40"/>
            </w:pPr>
            <w:r>
              <w:rPr>
                <w:rFonts w:ascii="Arial" w:hAnsi="Arial" w:eastAsia="Arial"/>
                <w:b w:val="0"/>
                <w:i w:val="0"/>
                <w:color w:val="999999"/>
                <w:sz w:val="16"/>
              </w:rPr>
              <w:t>Fill in the codes and numbers of attached documents, such as invoices, packing lists, licenses, etc. They must be consistent with those actually submitted.</w:t>
            </w:r>
          </w:p>
        </w:tc>
        <w:tc>
          <w:tcPr>
            <w:tcW w:type="dxa" w:w="5102"/>
          </w:tcPr>
          <w:p>
            <w:r/>
          </w:p>
        </w:tc>
      </w:tr>
      <w:tr>
        <w:tc>
          <w:tcPr>
            <w:tcW w:type="dxa" w:w="4535"/>
          </w:tcPr>
          <w:p>
            <w:r/>
            <w:r>
              <w:rPr>
                <w:rFonts w:ascii="Arial" w:hAnsi="Arial" w:eastAsia="Arial"/>
                <w:b/>
                <w:i w:val="0"/>
                <w:sz w:val="20"/>
              </w:rPr>
              <w:t>Remarks</w:t>
            </w:r>
          </w:p>
          <w:p>
            <w:pPr>
              <w:spacing w:before="40"/>
            </w:pPr>
            <w:r>
              <w:rPr>
                <w:rFonts w:ascii="Arial" w:hAnsi="Arial" w:eastAsia="Arial"/>
                <w:b w:val="0"/>
                <w:i w:val="0"/>
                <w:color w:val="999999"/>
                <w:sz w:val="16"/>
              </w:rPr>
              <w:t>Fill in other matters that need to be explained, such as special regulatory requirements, etc. It should be concise and avoid irrelevant content.</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