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Export License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License Number</w:t>
            </w:r>
          </w:p>
          <w:p>
            <w:pPr>
              <w:spacing w:before="40"/>
            </w:pPr>
            <w:r>
              <w:rPr>
                <w:rFonts w:ascii="Arial" w:hAnsi="Arial" w:eastAsia="Arial"/>
                <w:b w:val="0"/>
                <w:i w:val="0"/>
                <w:color w:val="999999"/>
                <w:sz w:val="16"/>
              </w:rPr>
              <w:t>A unique identification code assigned by the issuing authority, usually including the year, country code, commodity category, and serial number. When filling it in, it must be strictly consistent with the customs declaration and commercial invoice, and must not be altered.</w:t>
            </w:r>
          </w:p>
        </w:tc>
        <w:tc>
          <w:tcPr>
            <w:tcW w:type="dxa" w:w="5102"/>
          </w:tcPr>
          <w:p>
            <w:r/>
          </w:p>
        </w:tc>
      </w:tr>
      <w:tr>
        <w:tc>
          <w:tcPr>
            <w:tcW w:type="dxa" w:w="4535"/>
          </w:tcPr>
          <w:p>
            <w:r/>
            <w:r>
              <w:rPr>
                <w:rFonts w:ascii="Arial" w:hAnsi="Arial" w:eastAsia="Arial"/>
                <w:b/>
                <w:i w:val="0"/>
                <w:sz w:val="20"/>
              </w:rPr>
              <w:t>Exporter Name and Address</w:t>
            </w:r>
          </w:p>
          <w:p>
            <w:pPr>
              <w:spacing w:before="40"/>
            </w:pPr>
            <w:r>
              <w:rPr>
                <w:rFonts w:ascii="Arial" w:hAnsi="Arial" w:eastAsia="Arial"/>
                <w:b w:val="0"/>
                <w:i w:val="0"/>
                <w:color w:val="999999"/>
                <w:sz w:val="16"/>
              </w:rPr>
              <w:t>Fill in the full name, registered address, and contact information of the actual export operating entity, which must be completely consistent with the business license and customs registration information. The English name should be translated according to the business license.</w:t>
            </w:r>
          </w:p>
        </w:tc>
        <w:tc>
          <w:tcPr>
            <w:tcW w:type="dxa" w:w="5102"/>
          </w:tcPr>
          <w:p>
            <w:r/>
          </w:p>
        </w:tc>
      </w:tr>
      <w:tr>
        <w:tc>
          <w:tcPr>
            <w:tcW w:type="dxa" w:w="4535"/>
          </w:tcPr>
          <w:p>
            <w:r/>
            <w:r>
              <w:rPr>
                <w:rFonts w:ascii="Arial" w:hAnsi="Arial" w:eastAsia="Arial"/>
                <w:b/>
                <w:i w:val="0"/>
                <w:sz w:val="20"/>
              </w:rPr>
              <w:t>Importer Name and Address</w:t>
            </w:r>
          </w:p>
          <w:p>
            <w:pPr>
              <w:spacing w:before="40"/>
            </w:pPr>
            <w:r>
              <w:rPr>
                <w:rFonts w:ascii="Arial" w:hAnsi="Arial" w:eastAsia="Arial"/>
                <w:b w:val="0"/>
                <w:i w:val="0"/>
                <w:color w:val="999999"/>
                <w:sz w:val="16"/>
              </w:rPr>
              <w:t>Fill in the full name, detailed address, and country of the overseas final consignee, which must be consistent with the contract, invoice, and bill of lading consignee. If it is intermediary trade, the end user must be indicated.</w:t>
            </w:r>
          </w:p>
        </w:tc>
        <w:tc>
          <w:tcPr>
            <w:tcW w:type="dxa" w:w="5102"/>
          </w:tcPr>
          <w:p>
            <w:r/>
          </w:p>
        </w:tc>
      </w:tr>
      <w:tr>
        <w:tc>
          <w:tcPr>
            <w:tcW w:type="dxa" w:w="4535"/>
          </w:tcPr>
          <w:p>
            <w:r/>
            <w:r>
              <w:rPr>
                <w:rFonts w:ascii="Arial" w:hAnsi="Arial" w:eastAsia="Arial"/>
                <w:b/>
                <w:i w:val="0"/>
                <w:sz w:val="20"/>
              </w:rPr>
              <w:t>License Validity Period</w:t>
            </w:r>
          </w:p>
          <w:p>
            <w:pPr>
              <w:spacing w:before="40"/>
            </w:pPr>
            <w:r>
              <w:rPr>
                <w:rFonts w:ascii="Arial" w:hAnsi="Arial" w:eastAsia="Arial"/>
                <w:b w:val="0"/>
                <w:i w:val="0"/>
                <w:color w:val="999999"/>
                <w:sz w:val="16"/>
              </w:rPr>
              <w:t>The valid start and end dates specified by the issuing authority, usually from several months to one year. Goods must be declared for export within the validity period; if overdue, reapplication or extension is required.</w:t>
            </w:r>
          </w:p>
        </w:tc>
        <w:tc>
          <w:tcPr>
            <w:tcW w:type="dxa" w:w="5102"/>
          </w:tcPr>
          <w:p>
            <w:r/>
          </w:p>
        </w:tc>
      </w:tr>
      <w:tr>
        <w:tc>
          <w:tcPr>
            <w:tcW w:type="dxa" w:w="4535"/>
          </w:tcPr>
          <w:p>
            <w:r/>
            <w:r>
              <w:rPr>
                <w:rFonts w:ascii="Arial" w:hAnsi="Arial" w:eastAsia="Arial"/>
                <w:b/>
                <w:i w:val="0"/>
                <w:sz w:val="20"/>
              </w:rPr>
              <w:t>Commodity Name and Code</w:t>
            </w:r>
          </w:p>
          <w:p>
            <w:pPr>
              <w:spacing w:before="40"/>
            </w:pPr>
            <w:r>
              <w:rPr>
                <w:rFonts w:ascii="Arial" w:hAnsi="Arial" w:eastAsia="Arial"/>
                <w:b w:val="0"/>
                <w:i w:val="0"/>
                <w:color w:val="999999"/>
                <w:sz w:val="16"/>
              </w:rPr>
              <w:t>Fill in the standard Chinese and English name of the commodity and the customs commodity code (HS Code), which must be consistent with the customs declaration and invoice. The code must be accurate to 8-10 digits and comply with the tariff schedules of the exporting and importing countries.</w:t>
            </w:r>
          </w:p>
        </w:tc>
        <w:tc>
          <w:tcPr>
            <w:tcW w:type="dxa" w:w="5102"/>
          </w:tcPr>
          <w:p>
            <w:r/>
          </w:p>
        </w:tc>
      </w:tr>
      <w:tr>
        <w:tc>
          <w:tcPr>
            <w:tcW w:type="dxa" w:w="4535"/>
          </w:tcPr>
          <w:p>
            <w:r/>
            <w:r>
              <w:rPr>
                <w:rFonts w:ascii="Arial" w:hAnsi="Arial" w:eastAsia="Arial"/>
                <w:b/>
                <w:i w:val="0"/>
                <w:sz w:val="20"/>
              </w:rPr>
              <w:t>Specifications and Model</w:t>
            </w:r>
          </w:p>
          <w:p>
            <w:pPr>
              <w:spacing w:before="40"/>
            </w:pPr>
            <w:r>
              <w:rPr>
                <w:rFonts w:ascii="Arial" w:hAnsi="Arial" w:eastAsia="Arial"/>
                <w:b w:val="0"/>
                <w:i w:val="0"/>
                <w:color w:val="999999"/>
                <w:sz w:val="16"/>
              </w:rPr>
              <w:t>Describe in detail the specifications, model, grade, composition, etc. of the commodity to ensure accurate identification. For dual-use items, technical parameters and uses must be indicated.</w:t>
            </w:r>
          </w:p>
        </w:tc>
        <w:tc>
          <w:tcPr>
            <w:tcW w:type="dxa" w:w="5102"/>
          </w:tcPr>
          <w:p>
            <w:r/>
          </w:p>
        </w:tc>
      </w:tr>
      <w:tr>
        <w:tc>
          <w:tcPr>
            <w:tcW w:type="dxa" w:w="4535"/>
          </w:tcPr>
          <w:p>
            <w:r/>
            <w:r>
              <w:rPr>
                <w:rFonts w:ascii="Arial" w:hAnsi="Arial" w:eastAsia="Arial"/>
                <w:b/>
                <w:i w:val="0"/>
                <w:sz w:val="20"/>
              </w:rPr>
              <w:t>Quantity and Unit</w:t>
            </w:r>
          </w:p>
          <w:p>
            <w:pPr>
              <w:spacing w:before="40"/>
            </w:pPr>
            <w:r>
              <w:rPr>
                <w:rFonts w:ascii="Arial" w:hAnsi="Arial" w:eastAsia="Arial"/>
                <w:b w:val="0"/>
                <w:i w:val="0"/>
                <w:color w:val="999999"/>
                <w:sz w:val="16"/>
              </w:rPr>
              <w:t>Fill in the export quantity and legal unit of measurement, which must be consistent with the invoice and packing list. If the license is used in batches, the quantity used this time and the remaining quantity must be indicated.</w:t>
            </w:r>
          </w:p>
        </w:tc>
        <w:tc>
          <w:tcPr>
            <w:tcW w:type="dxa" w:w="5102"/>
          </w:tcPr>
          <w:p>
            <w:r/>
          </w:p>
        </w:tc>
      </w:tr>
      <w:tr>
        <w:tc>
          <w:tcPr>
            <w:tcW w:type="dxa" w:w="4535"/>
          </w:tcPr>
          <w:p>
            <w:r/>
            <w:r>
              <w:rPr>
                <w:rFonts w:ascii="Arial" w:hAnsi="Arial" w:eastAsia="Arial"/>
                <w:b/>
                <w:i w:val="0"/>
                <w:sz w:val="20"/>
              </w:rPr>
              <w:t>Unit Price and Total Value</w:t>
            </w:r>
          </w:p>
          <w:p>
            <w:pPr>
              <w:spacing w:before="40"/>
            </w:pPr>
            <w:r>
              <w:rPr>
                <w:rFonts w:ascii="Arial" w:hAnsi="Arial" w:eastAsia="Arial"/>
                <w:b w:val="0"/>
                <w:i w:val="0"/>
                <w:color w:val="999999"/>
                <w:sz w:val="16"/>
              </w:rPr>
              <w:t>Fill in the transaction unit price and total amount, and the currency must be clear (such as USD, EUR). The total value should be consistent with the invoice amount; if it is a provisional price, it must be indicated.</w:t>
            </w:r>
          </w:p>
        </w:tc>
        <w:tc>
          <w:tcPr>
            <w:tcW w:type="dxa" w:w="5102"/>
          </w:tcPr>
          <w:p>
            <w:r/>
          </w:p>
        </w:tc>
      </w:tr>
      <w:tr>
        <w:tc>
          <w:tcPr>
            <w:tcW w:type="dxa" w:w="4535"/>
          </w:tcPr>
          <w:p>
            <w:r/>
            <w:r>
              <w:rPr>
                <w:rFonts w:ascii="Arial" w:hAnsi="Arial" w:eastAsia="Arial"/>
                <w:b/>
                <w:i w:val="0"/>
                <w:sz w:val="20"/>
              </w:rPr>
              <w:t>Trade Mode</w:t>
            </w:r>
          </w:p>
          <w:p>
            <w:pPr>
              <w:spacing w:before="40"/>
            </w:pPr>
            <w:r>
              <w:rPr>
                <w:rFonts w:ascii="Arial" w:hAnsi="Arial" w:eastAsia="Arial"/>
                <w:b w:val="0"/>
                <w:i w:val="0"/>
                <w:color w:val="999999"/>
                <w:sz w:val="16"/>
              </w:rPr>
              <w:t>Indicate general trade, processing with imported materials, processing with supplied materials, transit trade, etc., which must be consistent with the trade mode on the customs declaration. Different modes correspond to different regulatory requirements.</w:t>
            </w:r>
          </w:p>
        </w:tc>
        <w:tc>
          <w:tcPr>
            <w:tcW w:type="dxa" w:w="5102"/>
          </w:tcPr>
          <w:p>
            <w:r/>
          </w:p>
        </w:tc>
      </w:tr>
      <w:tr>
        <w:tc>
          <w:tcPr>
            <w:tcW w:type="dxa" w:w="4535"/>
          </w:tcPr>
          <w:p>
            <w:r/>
            <w:r>
              <w:rPr>
                <w:rFonts w:ascii="Arial" w:hAnsi="Arial" w:eastAsia="Arial"/>
                <w:b/>
                <w:i w:val="0"/>
                <w:sz w:val="20"/>
              </w:rPr>
              <w:t>Transport Mode and Route</w:t>
            </w:r>
          </w:p>
          <w:p>
            <w:pPr>
              <w:spacing w:before="40"/>
            </w:pPr>
            <w:r>
              <w:rPr>
                <w:rFonts w:ascii="Arial" w:hAnsi="Arial" w:eastAsia="Arial"/>
                <w:b w:val="0"/>
                <w:i w:val="0"/>
                <w:color w:val="999999"/>
                <w:sz w:val="16"/>
              </w:rPr>
              <w:t>Fill in the transport mode (sea, air, land, etc.) and the place of departure, destination, and transit place. If transshipment is involved, the transit port and whether a third-country license is required must be indicated.</w:t>
            </w:r>
          </w:p>
        </w:tc>
        <w:tc>
          <w:tcPr>
            <w:tcW w:type="dxa" w:w="5102"/>
          </w:tcPr>
          <w:p>
            <w:r/>
          </w:p>
        </w:tc>
      </w:tr>
      <w:tr>
        <w:tc>
          <w:tcPr>
            <w:tcW w:type="dxa" w:w="4535"/>
          </w:tcPr>
          <w:p>
            <w:r/>
            <w:r>
              <w:rPr>
                <w:rFonts w:ascii="Arial" w:hAnsi="Arial" w:eastAsia="Arial"/>
                <w:b/>
                <w:i w:val="0"/>
                <w:sz w:val="20"/>
              </w:rPr>
              <w:t>End Use</w:t>
            </w:r>
          </w:p>
          <w:p>
            <w:pPr>
              <w:spacing w:before="40"/>
            </w:pPr>
            <w:r>
              <w:rPr>
                <w:rFonts w:ascii="Arial" w:hAnsi="Arial" w:eastAsia="Arial"/>
                <w:b w:val="0"/>
                <w:i w:val="0"/>
                <w:color w:val="999999"/>
                <w:sz w:val="16"/>
              </w:rPr>
              <w:t>Explain the final purpose of use of the commodity, such as industrial production, consumption, research and development, etc. For sensitive items, an end-user statement and use guarantee must be provided.</w:t>
            </w:r>
          </w:p>
        </w:tc>
        <w:tc>
          <w:tcPr>
            <w:tcW w:type="dxa" w:w="5102"/>
          </w:tcPr>
          <w:p>
            <w:r/>
          </w:p>
        </w:tc>
      </w:tr>
      <w:tr>
        <w:tc>
          <w:tcPr>
            <w:tcW w:type="dxa" w:w="4535"/>
          </w:tcPr>
          <w:p>
            <w:r/>
            <w:r>
              <w:rPr>
                <w:rFonts w:ascii="Arial" w:hAnsi="Arial" w:eastAsia="Arial"/>
                <w:b/>
                <w:i w:val="0"/>
                <w:sz w:val="20"/>
              </w:rPr>
              <w:t>Issuing Authority and Seal</w:t>
            </w:r>
          </w:p>
          <w:p>
            <w:pPr>
              <w:spacing w:before="40"/>
            </w:pPr>
            <w:r>
              <w:rPr>
                <w:rFonts w:ascii="Arial" w:hAnsi="Arial" w:eastAsia="Arial"/>
                <w:b w:val="0"/>
                <w:i w:val="0"/>
                <w:color w:val="999999"/>
                <w:sz w:val="16"/>
              </w:rPr>
              <w:t>To be filled in and sealed with the official seal by the authorized issuing authority, indicating the date of issuance and the issuer. Electronic licenses must have a verifiable electronic seal.</w:t>
            </w:r>
          </w:p>
        </w:tc>
        <w:tc>
          <w:tcPr>
            <w:tcW w:type="dxa" w:w="5102"/>
          </w:tcPr>
          <w:p>
            <w:r/>
          </w:p>
        </w:tc>
      </w:tr>
      <w:tr>
        <w:tc>
          <w:tcPr>
            <w:tcW w:type="dxa" w:w="4535"/>
          </w:tcPr>
          <w:p>
            <w:r/>
            <w:r>
              <w:rPr>
                <w:rFonts w:ascii="Arial" w:hAnsi="Arial" w:eastAsia="Arial"/>
                <w:b/>
                <w:i w:val="0"/>
                <w:sz w:val="20"/>
              </w:rPr>
              <w:t>Remarks Column</w:t>
            </w:r>
          </w:p>
          <w:p>
            <w:pPr>
              <w:spacing w:before="40"/>
            </w:pPr>
            <w:r>
              <w:rPr>
                <w:rFonts w:ascii="Arial" w:hAnsi="Arial" w:eastAsia="Arial"/>
                <w:b w:val="0"/>
                <w:i w:val="0"/>
                <w:color w:val="999999"/>
                <w:sz w:val="16"/>
              </w:rPr>
              <w:t>Fill in special explanations, such as "for customs declaration use only," "batch export," "the importing country must provide an end-user certificate," etc., as well as other information required by the issuing authority.</w:t>
            </w:r>
          </w:p>
        </w:tc>
        <w:tc>
          <w:tcPr>
            <w:tcW w:type="dxa" w:w="5102"/>
          </w:tcPr>
          <w:p>
            <w:r/>
          </w:p>
        </w:tc>
      </w:tr>
      <w:tr>
        <w:tc>
          <w:tcPr>
            <w:tcW w:type="dxa" w:w="4535"/>
          </w:tcPr>
          <w:p>
            <w:r/>
            <w:r>
              <w:rPr>
                <w:rFonts w:ascii="Arial" w:hAnsi="Arial" w:eastAsia="Arial"/>
                <w:b/>
                <w:i w:val="0"/>
                <w:sz w:val="20"/>
              </w:rPr>
              <w:t>Commodity Description and Technical Parameters</w:t>
            </w:r>
          </w:p>
          <w:p>
            <w:pPr>
              <w:spacing w:before="40"/>
            </w:pPr>
            <w:r>
              <w:rPr>
                <w:rFonts w:ascii="Arial" w:hAnsi="Arial" w:eastAsia="Arial"/>
                <w:b w:val="0"/>
                <w:i w:val="0"/>
                <w:color w:val="999999"/>
                <w:sz w:val="16"/>
              </w:rPr>
              <w:t>For high-tech or dual-use items, technical specifications, performance indicators, uses, and export control classification numbers (such as ECCN) must be described in detail.</w:t>
            </w:r>
          </w:p>
        </w:tc>
        <w:tc>
          <w:tcPr>
            <w:tcW w:type="dxa" w:w="5102"/>
          </w:tcPr>
          <w:p>
            <w:r/>
          </w:p>
        </w:tc>
      </w:tr>
      <w:tr>
        <w:tc>
          <w:tcPr>
            <w:tcW w:type="dxa" w:w="4535"/>
          </w:tcPr>
          <w:p>
            <w:r/>
            <w:r>
              <w:rPr>
                <w:rFonts w:ascii="Arial" w:hAnsi="Arial" w:eastAsia="Arial"/>
                <w:b/>
                <w:i w:val="0"/>
                <w:sz w:val="20"/>
              </w:rPr>
              <w:t>List of Accompanying Documents</w:t>
            </w:r>
          </w:p>
          <w:p>
            <w:pPr>
              <w:spacing w:before="40"/>
            </w:pPr>
            <w:r>
              <w:rPr>
                <w:rFonts w:ascii="Arial" w:hAnsi="Arial" w:eastAsia="Arial"/>
                <w:b w:val="0"/>
                <w:i w:val="0"/>
                <w:color w:val="999999"/>
                <w:sz w:val="16"/>
              </w:rPr>
              <w:t>List the documents submitted when applying for the license, such as contracts, invoices, end-user certificates, technical descriptions, etc., for verification by the issuing authority and customs.</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