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运费发票 / Freight Invoice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发票抬头（Invoice Title）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应明确标注“Freight Invoice”或“运费发票”字样，并注明承运人/货代公司全称、地址、联系方式及税号。若为NVOCC，需同时显示其NVOCC备案号。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发票号码与日期（Invoice No. &amp; Date）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填写承运人/货代内部唯一的发票流水号及签发日期。日期应与运输合同、提单日期逻辑一致，不得早于订舱日或晚于到港日。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托运人/发货人（Shipper）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填写实际委托运输的托运人全称、地址、联系方式。应与提单、报关单上的发货人一致，若为第三方贸易商需注明实际货主。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收货人/通知方（Consignee/Notify Party）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填写提单上的收货人或通知方全称及地址。若为指示提单，应注明“To Order”或实际提货人信息。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船名/航次或航班号（Vessel/Voyage or Flight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填写实际承载货物的船名及航次号，或空运航班号。应与提单/空运单上的运输工具信息完全一致。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提单号/空运单号（B/L No. or AWB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填写对应的提单号或空运单号，确保运费发票与运输单据一一对应。若一票货物分单，需列明所有相关单号。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起运港/目的港（Port of Loading/Discharge）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填写实际装货港和卸货港全称，应与提单一致。若为内陆转运，需注明最终目的地及运输方式。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货物描述与数量（Description of Goods &amp; Quantity）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简要描述货物名称、件数、毛重、体积或集装箱号。应与提单、报关单一致，以便海关核对运费合理性。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运费明细（Freight Charges Breakdown）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逐项列明海运费/空运费、燃油附加费（BAF）、货币贬值附加费（CAF）、旺季附加费（PSS）、港口拥挤费、文件费等。每项需注明币种和金额。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运费总金额（Total Amount）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填写所有费用项目的合计金额，需与明细相加一致。同时注明币种（如USD、EUR）及大写金额。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付款方式与期限（Payment Terms）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注明运费支付方式（预付/到付）、付款期限（如30天）、收款账户信息。若为信用证结算，需与信用证条款一致。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贸易术语（Incoterms）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注明本次运输对应的贸易术语（如FOB、CIF、EXW），以明确运费承担方。应与销售合同、报关单一致。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签章与签字（Signature &amp; Stamp）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由承运人/货代授权签字并加盖公司公章或发票专用章。电子发票需有可验证的数字签名。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备注栏（Remarks）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可注明特殊说明，如“运费已付”“目的港费用由收货人承担”、信用证要求条款等。避免填写与运费无关的内容。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汇率与折算（Exchange Rate &amp; Conversion）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若运费以外币结算但需以本币报关，应注明折算汇率及依据（如中国海关适用汇率）。汇率日期应与申报日期匹配。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