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熏蒸证书 / Fumigation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证书编号（Certificate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由出具机构编制的唯一识别号，通常包含国家代码、年份和流水号。需与报关单、提单等文件保持一致，便于追溯和核查。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发货人（Consignor）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填写出口商完整名称和地址，应与商业发票、提单上的发货人一致。若为代理出口，需注明实际货主。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收货人（Consignee）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填写进口商完整名称和地址，应与提单、发票一致。若信用证有特殊要求，需严格按信用证填写。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货物名称（Description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填写货物具体品名，应与发票、装箱单一致。木质包装需单独列明，如“木质包装材料”。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数量/重量（Quantity/Weight）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填写货物总数量及单位，或毛重/净重。应与装箱单、提单一致，注意单位换算。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包装种类及数量（Packages）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注明包装类型（如木箱、托盘）及件数。木质包装需明确材质和数量，以便检疫处理。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熏蒸处理方式（Treatment Method）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填写具体熏蒸方式，如溴甲烷熏蒸、热处理、硫酰氟熏蒸等，并注明浓度、温度、时间等参数。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熏蒸处理时间（Date of Treatment）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填写实际熏蒸处理的起止日期和时间，精确到小时。应在货物装运前合理时间内完成。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熏蒸处理地点（Place of Treatment）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填写实施熏蒸的具体地点，如仓库、堆场名称及地址。需与实际处理地一致。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熏蒸药剂及剂量（Chemical and Dosage）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注明所用熏蒸剂名称、浓度、用量及持续时间。应符合进口国认可的标准。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官方印章及签字（Official Stamp and Signature）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由授权熏蒸人员签字并加盖官方机构印章，印章需清晰可辨。电子证书需有数字签名。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签发日期（Date of Issue）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填写证书签发日期，通常应在熏蒸处理后、装运前。应与熏蒸日期逻辑一致。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有效期（Validity）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注明证书有效期，通常为熏蒸处理后21天内有效，具体以进口国要求为准。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附加声明（Additional Declaration）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根据进口国要求添加特定声明，如“符合ISPM 15标准”或“无松材线虫”等。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备注（Remarks）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填写特殊说明，如信用证要求的条款、处理异常情况等。需与相关文件协调。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