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Fumigation Certificate</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Certificate No.</w:t>
            </w:r>
          </w:p>
          <w:p>
            <w:pPr>
              <w:spacing w:before="40"/>
            </w:pPr>
            <w:r>
              <w:rPr>
                <w:rFonts w:ascii="Arial" w:hAnsi="Arial" w:eastAsia="Arial"/>
                <w:b w:val="0"/>
                <w:i w:val="0"/>
                <w:color w:val="999999"/>
                <w:sz w:val="16"/>
              </w:rPr>
              <w:t>A unique identification number compiled by the issuing authority, typically including the country code, year, and serial number. It must be consistent with documents such as the customs declaration and bill of lading for traceability and verification.</w:t>
            </w:r>
          </w:p>
        </w:tc>
        <w:tc>
          <w:tcPr>
            <w:tcW w:type="dxa" w:w="5102"/>
          </w:tcPr>
          <w:p>
            <w:r/>
          </w:p>
        </w:tc>
      </w:tr>
      <w:tr>
        <w:tc>
          <w:tcPr>
            <w:tcW w:type="dxa" w:w="4535"/>
          </w:tcPr>
          <w:p>
            <w:r/>
            <w:r>
              <w:rPr>
                <w:rFonts w:ascii="Arial" w:hAnsi="Arial" w:eastAsia="Arial"/>
                <w:b/>
                <w:i w:val="0"/>
                <w:sz w:val="20"/>
              </w:rPr>
              <w:t>Consignor</w:t>
            </w:r>
          </w:p>
          <w:p>
            <w:pPr>
              <w:spacing w:before="40"/>
            </w:pPr>
            <w:r>
              <w:rPr>
                <w:rFonts w:ascii="Arial" w:hAnsi="Arial" w:eastAsia="Arial"/>
                <w:b w:val="0"/>
                <w:i w:val="0"/>
                <w:color w:val="999999"/>
                <w:sz w:val="16"/>
              </w:rPr>
              <w:t>Fill in the exporter's full name and address, which should be consistent with the consignor on the commercial invoice and bill of lading. If exported through an agent, the actual cargo owner must be indicated.</w:t>
            </w:r>
          </w:p>
        </w:tc>
        <w:tc>
          <w:tcPr>
            <w:tcW w:type="dxa" w:w="5102"/>
          </w:tcPr>
          <w:p>
            <w:r/>
          </w:p>
        </w:tc>
      </w:tr>
      <w:tr>
        <w:tc>
          <w:tcPr>
            <w:tcW w:type="dxa" w:w="4535"/>
          </w:tcPr>
          <w:p>
            <w:r/>
            <w:r>
              <w:rPr>
                <w:rFonts w:ascii="Arial" w:hAnsi="Arial" w:eastAsia="Arial"/>
                <w:b/>
                <w:i w:val="0"/>
                <w:sz w:val="20"/>
              </w:rPr>
              <w:t>Consignee</w:t>
            </w:r>
          </w:p>
          <w:p>
            <w:pPr>
              <w:spacing w:before="40"/>
            </w:pPr>
            <w:r>
              <w:rPr>
                <w:rFonts w:ascii="Arial" w:hAnsi="Arial" w:eastAsia="Arial"/>
                <w:b w:val="0"/>
                <w:i w:val="0"/>
                <w:color w:val="999999"/>
                <w:sz w:val="16"/>
              </w:rPr>
              <w:t>Fill in the importer's full name and address, which should be consistent with the bill of lading and invoice. If the letter of credit has special requirements, it must be filled in strictly according to the letter of credit.</w:t>
            </w:r>
          </w:p>
        </w:tc>
        <w:tc>
          <w:tcPr>
            <w:tcW w:type="dxa" w:w="5102"/>
          </w:tcPr>
          <w:p>
            <w:r/>
          </w:p>
        </w:tc>
      </w:tr>
      <w:tr>
        <w:tc>
          <w:tcPr>
            <w:tcW w:type="dxa" w:w="4535"/>
          </w:tcPr>
          <w:p>
            <w:r/>
            <w:r>
              <w:rPr>
                <w:rFonts w:ascii="Arial" w:hAnsi="Arial" w:eastAsia="Arial"/>
                <w:b/>
                <w:i w:val="0"/>
                <w:sz w:val="20"/>
              </w:rPr>
              <w:t>Description of Goods</w:t>
            </w:r>
          </w:p>
          <w:p>
            <w:pPr>
              <w:spacing w:before="40"/>
            </w:pPr>
            <w:r>
              <w:rPr>
                <w:rFonts w:ascii="Arial" w:hAnsi="Arial" w:eastAsia="Arial"/>
                <w:b w:val="0"/>
                <w:i w:val="0"/>
                <w:color w:val="999999"/>
                <w:sz w:val="16"/>
              </w:rPr>
              <w:t>Fill in the specific product name of the goods, which should be consistent with the invoice and packing list. Wooden packaging must be listed separately, such as 'wooden packaging materials'.</w:t>
            </w:r>
          </w:p>
        </w:tc>
        <w:tc>
          <w:tcPr>
            <w:tcW w:type="dxa" w:w="5102"/>
          </w:tcPr>
          <w:p>
            <w:r/>
          </w:p>
        </w:tc>
      </w:tr>
      <w:tr>
        <w:tc>
          <w:tcPr>
            <w:tcW w:type="dxa" w:w="4535"/>
          </w:tcPr>
          <w:p>
            <w:r/>
            <w:r>
              <w:rPr>
                <w:rFonts w:ascii="Arial" w:hAnsi="Arial" w:eastAsia="Arial"/>
                <w:b/>
                <w:i w:val="0"/>
                <w:sz w:val="20"/>
              </w:rPr>
              <w:t>Quantity/Weight</w:t>
            </w:r>
          </w:p>
          <w:p>
            <w:pPr>
              <w:spacing w:before="40"/>
            </w:pPr>
            <w:r>
              <w:rPr>
                <w:rFonts w:ascii="Arial" w:hAnsi="Arial" w:eastAsia="Arial"/>
                <w:b w:val="0"/>
                <w:i w:val="0"/>
                <w:color w:val="999999"/>
                <w:sz w:val="16"/>
              </w:rPr>
              <w:t>Fill in the total quantity and unit of the goods, or gross weight/net weight. It should be consistent with the packing list and bill of lading, and attention should be paid to unit conversion.</w:t>
            </w:r>
          </w:p>
        </w:tc>
        <w:tc>
          <w:tcPr>
            <w:tcW w:type="dxa" w:w="5102"/>
          </w:tcPr>
          <w:p>
            <w:r/>
          </w:p>
        </w:tc>
      </w:tr>
      <w:tr>
        <w:tc>
          <w:tcPr>
            <w:tcW w:type="dxa" w:w="4535"/>
          </w:tcPr>
          <w:p>
            <w:r/>
            <w:r>
              <w:rPr>
                <w:rFonts w:ascii="Arial" w:hAnsi="Arial" w:eastAsia="Arial"/>
                <w:b/>
                <w:i w:val="0"/>
                <w:sz w:val="20"/>
              </w:rPr>
              <w:t>Packages</w:t>
            </w:r>
          </w:p>
          <w:p>
            <w:pPr>
              <w:spacing w:before="40"/>
            </w:pPr>
            <w:r>
              <w:rPr>
                <w:rFonts w:ascii="Arial" w:hAnsi="Arial" w:eastAsia="Arial"/>
                <w:b w:val="0"/>
                <w:i w:val="0"/>
                <w:color w:val="999999"/>
                <w:sz w:val="16"/>
              </w:rPr>
              <w:t>Indicate the type of packaging (such as wooden crates, pallets) and the number of pieces. Wooden packaging must clearly specify the material and quantity for quarantine treatment.</w:t>
            </w:r>
          </w:p>
        </w:tc>
        <w:tc>
          <w:tcPr>
            <w:tcW w:type="dxa" w:w="5102"/>
          </w:tcPr>
          <w:p>
            <w:r/>
          </w:p>
        </w:tc>
      </w:tr>
      <w:tr>
        <w:tc>
          <w:tcPr>
            <w:tcW w:type="dxa" w:w="4535"/>
          </w:tcPr>
          <w:p>
            <w:r/>
            <w:r>
              <w:rPr>
                <w:rFonts w:ascii="Arial" w:hAnsi="Arial" w:eastAsia="Arial"/>
                <w:b/>
                <w:i w:val="0"/>
                <w:sz w:val="20"/>
              </w:rPr>
              <w:t>Treatment Method</w:t>
            </w:r>
          </w:p>
          <w:p>
            <w:pPr>
              <w:spacing w:before="40"/>
            </w:pPr>
            <w:r>
              <w:rPr>
                <w:rFonts w:ascii="Arial" w:hAnsi="Arial" w:eastAsia="Arial"/>
                <w:b w:val="0"/>
                <w:i w:val="0"/>
                <w:color w:val="999999"/>
                <w:sz w:val="16"/>
              </w:rPr>
              <w:t>Fill in the specific fumigation method, such as methyl bromide fumigation, heat treatment, sulfuryl fluoride fumigation, etc., and specify parameters such as concentration, temperature, and duration.</w:t>
            </w:r>
          </w:p>
        </w:tc>
        <w:tc>
          <w:tcPr>
            <w:tcW w:type="dxa" w:w="5102"/>
          </w:tcPr>
          <w:p>
            <w:r/>
          </w:p>
        </w:tc>
      </w:tr>
      <w:tr>
        <w:tc>
          <w:tcPr>
            <w:tcW w:type="dxa" w:w="4535"/>
          </w:tcPr>
          <w:p>
            <w:r/>
            <w:r>
              <w:rPr>
                <w:rFonts w:ascii="Arial" w:hAnsi="Arial" w:eastAsia="Arial"/>
                <w:b/>
                <w:i w:val="0"/>
                <w:sz w:val="20"/>
              </w:rPr>
              <w:t>Date of Treatment</w:t>
            </w:r>
          </w:p>
          <w:p>
            <w:pPr>
              <w:spacing w:before="40"/>
            </w:pPr>
            <w:r>
              <w:rPr>
                <w:rFonts w:ascii="Arial" w:hAnsi="Arial" w:eastAsia="Arial"/>
                <w:b w:val="0"/>
                <w:i w:val="0"/>
                <w:color w:val="999999"/>
                <w:sz w:val="16"/>
              </w:rPr>
              <w:t>Fill in the start and end dates and times of the actual fumigation treatment, accurate to the hour. It should be completed within a reasonable time before shipment of the goods.</w:t>
            </w:r>
          </w:p>
        </w:tc>
        <w:tc>
          <w:tcPr>
            <w:tcW w:type="dxa" w:w="5102"/>
          </w:tcPr>
          <w:p>
            <w:r/>
          </w:p>
        </w:tc>
      </w:tr>
      <w:tr>
        <w:tc>
          <w:tcPr>
            <w:tcW w:type="dxa" w:w="4535"/>
          </w:tcPr>
          <w:p>
            <w:r/>
            <w:r>
              <w:rPr>
                <w:rFonts w:ascii="Arial" w:hAnsi="Arial" w:eastAsia="Arial"/>
                <w:b/>
                <w:i w:val="0"/>
                <w:sz w:val="20"/>
              </w:rPr>
              <w:t>Place of Treatment</w:t>
            </w:r>
          </w:p>
          <w:p>
            <w:pPr>
              <w:spacing w:before="40"/>
            </w:pPr>
            <w:r>
              <w:rPr>
                <w:rFonts w:ascii="Arial" w:hAnsi="Arial" w:eastAsia="Arial"/>
                <w:b w:val="0"/>
                <w:i w:val="0"/>
                <w:color w:val="999999"/>
                <w:sz w:val="16"/>
              </w:rPr>
              <w:t>Fill in the specific location where fumigation was carried out, such as the name and address of the warehouse or yard. It must be consistent with the actual treatment location.</w:t>
            </w:r>
          </w:p>
        </w:tc>
        <w:tc>
          <w:tcPr>
            <w:tcW w:type="dxa" w:w="5102"/>
          </w:tcPr>
          <w:p>
            <w:r/>
          </w:p>
        </w:tc>
      </w:tr>
      <w:tr>
        <w:tc>
          <w:tcPr>
            <w:tcW w:type="dxa" w:w="4535"/>
          </w:tcPr>
          <w:p>
            <w:r/>
            <w:r>
              <w:rPr>
                <w:rFonts w:ascii="Arial" w:hAnsi="Arial" w:eastAsia="Arial"/>
                <w:b/>
                <w:i w:val="0"/>
                <w:sz w:val="20"/>
              </w:rPr>
              <w:t>Chemical and Dosage</w:t>
            </w:r>
          </w:p>
          <w:p>
            <w:pPr>
              <w:spacing w:before="40"/>
            </w:pPr>
            <w:r>
              <w:rPr>
                <w:rFonts w:ascii="Arial" w:hAnsi="Arial" w:eastAsia="Arial"/>
                <w:b w:val="0"/>
                <w:i w:val="0"/>
                <w:color w:val="999999"/>
                <w:sz w:val="16"/>
              </w:rPr>
              <w:t>Indicate the name, concentration, dosage, and duration of the fumigant used. It should comply with standards recognized by the importing country.</w:t>
            </w:r>
          </w:p>
        </w:tc>
        <w:tc>
          <w:tcPr>
            <w:tcW w:type="dxa" w:w="5102"/>
          </w:tcPr>
          <w:p>
            <w:r/>
          </w:p>
        </w:tc>
      </w:tr>
      <w:tr>
        <w:tc>
          <w:tcPr>
            <w:tcW w:type="dxa" w:w="4535"/>
          </w:tcPr>
          <w:p>
            <w:r/>
            <w:r>
              <w:rPr>
                <w:rFonts w:ascii="Arial" w:hAnsi="Arial" w:eastAsia="Arial"/>
                <w:b/>
                <w:i w:val="0"/>
                <w:sz w:val="20"/>
              </w:rPr>
              <w:t>Official Stamp and Signature</w:t>
            </w:r>
          </w:p>
          <w:p>
            <w:pPr>
              <w:spacing w:before="40"/>
            </w:pPr>
            <w:r>
              <w:rPr>
                <w:rFonts w:ascii="Arial" w:hAnsi="Arial" w:eastAsia="Arial"/>
                <w:b w:val="0"/>
                <w:i w:val="0"/>
                <w:color w:val="999999"/>
                <w:sz w:val="16"/>
              </w:rPr>
              <w:t>Signed by authorized fumigation personnel and stamped with the official authority's seal; the seal must be clear and legible. Electronic certificates require a digital signature.</w:t>
            </w:r>
          </w:p>
        </w:tc>
        <w:tc>
          <w:tcPr>
            <w:tcW w:type="dxa" w:w="5102"/>
          </w:tcPr>
          <w:p>
            <w:r/>
          </w:p>
        </w:tc>
      </w:tr>
      <w:tr>
        <w:tc>
          <w:tcPr>
            <w:tcW w:type="dxa" w:w="4535"/>
          </w:tcPr>
          <w:p>
            <w:r/>
            <w:r>
              <w:rPr>
                <w:rFonts w:ascii="Arial" w:hAnsi="Arial" w:eastAsia="Arial"/>
                <w:b/>
                <w:i w:val="0"/>
                <w:sz w:val="20"/>
              </w:rPr>
              <w:t>Date of Issue</w:t>
            </w:r>
          </w:p>
          <w:p>
            <w:pPr>
              <w:spacing w:before="40"/>
            </w:pPr>
            <w:r>
              <w:rPr>
                <w:rFonts w:ascii="Arial" w:hAnsi="Arial" w:eastAsia="Arial"/>
                <w:b w:val="0"/>
                <w:i w:val="0"/>
                <w:color w:val="999999"/>
                <w:sz w:val="16"/>
              </w:rPr>
              <w:t>Fill in the date of certificate issuance, which should typically be after fumigation treatment and before shipment. It should be logically consistent with the fumigation date.</w:t>
            </w:r>
          </w:p>
        </w:tc>
        <w:tc>
          <w:tcPr>
            <w:tcW w:type="dxa" w:w="5102"/>
          </w:tcPr>
          <w:p>
            <w:r/>
          </w:p>
        </w:tc>
      </w:tr>
      <w:tr>
        <w:tc>
          <w:tcPr>
            <w:tcW w:type="dxa" w:w="4535"/>
          </w:tcPr>
          <w:p>
            <w:r/>
            <w:r>
              <w:rPr>
                <w:rFonts w:ascii="Arial" w:hAnsi="Arial" w:eastAsia="Arial"/>
                <w:b/>
                <w:i w:val="0"/>
                <w:sz w:val="20"/>
              </w:rPr>
              <w:t>Validity</w:t>
            </w:r>
          </w:p>
          <w:p>
            <w:pPr>
              <w:spacing w:before="40"/>
            </w:pPr>
            <w:r>
              <w:rPr>
                <w:rFonts w:ascii="Arial" w:hAnsi="Arial" w:eastAsia="Arial"/>
                <w:b w:val="0"/>
                <w:i w:val="0"/>
                <w:color w:val="999999"/>
                <w:sz w:val="16"/>
              </w:rPr>
              <w:t>Indicate the validity period of the certificate, typically valid within 21 days after fumigation treatment, subject to the specific requirements of the importing country.</w:t>
            </w:r>
          </w:p>
        </w:tc>
        <w:tc>
          <w:tcPr>
            <w:tcW w:type="dxa" w:w="5102"/>
          </w:tcPr>
          <w:p>
            <w:r/>
          </w:p>
        </w:tc>
      </w:tr>
      <w:tr>
        <w:tc>
          <w:tcPr>
            <w:tcW w:type="dxa" w:w="4535"/>
          </w:tcPr>
          <w:p>
            <w:r/>
            <w:r>
              <w:rPr>
                <w:rFonts w:ascii="Arial" w:hAnsi="Arial" w:eastAsia="Arial"/>
                <w:b/>
                <w:i w:val="0"/>
                <w:sz w:val="20"/>
              </w:rPr>
              <w:t>Additional Declaration</w:t>
            </w:r>
          </w:p>
          <w:p>
            <w:pPr>
              <w:spacing w:before="40"/>
            </w:pPr>
            <w:r>
              <w:rPr>
                <w:rFonts w:ascii="Arial" w:hAnsi="Arial" w:eastAsia="Arial"/>
                <w:b w:val="0"/>
                <w:i w:val="0"/>
                <w:color w:val="999999"/>
                <w:sz w:val="16"/>
              </w:rPr>
              <w:t>Add specific declarations as required by the importing country, such as 'complies with ISPM 15 standards' or 'free from pine wood nematode', etc.</w:t>
            </w:r>
          </w:p>
        </w:tc>
        <w:tc>
          <w:tcPr>
            <w:tcW w:type="dxa" w:w="5102"/>
          </w:tcPr>
          <w:p>
            <w:r/>
          </w:p>
        </w:tc>
      </w:tr>
      <w:tr>
        <w:tc>
          <w:tcPr>
            <w:tcW w:type="dxa" w:w="4535"/>
          </w:tcPr>
          <w:p>
            <w:r/>
            <w:r>
              <w:rPr>
                <w:rFonts w:ascii="Arial" w:hAnsi="Arial" w:eastAsia="Arial"/>
                <w:b/>
                <w:i w:val="0"/>
                <w:sz w:val="20"/>
              </w:rPr>
              <w:t>Remarks</w:t>
            </w:r>
          </w:p>
          <w:p>
            <w:pPr>
              <w:spacing w:before="40"/>
            </w:pPr>
            <w:r>
              <w:rPr>
                <w:rFonts w:ascii="Arial" w:hAnsi="Arial" w:eastAsia="Arial"/>
                <w:b w:val="0"/>
                <w:i w:val="0"/>
                <w:color w:val="999999"/>
                <w:sz w:val="16"/>
              </w:rPr>
              <w:t>Fill in special notes, such as terms required by the letter of credit, abnormal handling situations, etc. It must be coordinated with relevant documents.</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