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Insurance Policy</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Insured</w:t>
            </w:r>
          </w:p>
          <w:p>
            <w:pPr>
              <w:spacing w:before="40"/>
            </w:pPr>
            <w:r>
              <w:rPr>
                <w:rFonts w:ascii="Arial" w:hAnsi="Arial" w:eastAsia="Arial"/>
                <w:b w:val="0"/>
                <w:i w:val="0"/>
                <w:color w:val="999999"/>
                <w:sz w:val="16"/>
              </w:rPr>
              <w:t>Fill in the name of the applicant, usually the beneficiary of the letter of credit (the exporter). If the letter of credit stipulates that the buyer is the insured, fill it in accordingly. If transfer is required, it should be made in transferable form.</w:t>
            </w:r>
          </w:p>
        </w:tc>
        <w:tc>
          <w:tcPr>
            <w:tcW w:type="dxa" w:w="5102"/>
          </w:tcPr>
          <w:p>
            <w:r/>
          </w:p>
        </w:tc>
      </w:tr>
      <w:tr>
        <w:tc>
          <w:tcPr>
            <w:tcW w:type="dxa" w:w="4535"/>
          </w:tcPr>
          <w:p>
            <w:r/>
            <w:r>
              <w:rPr>
                <w:rFonts w:ascii="Arial" w:hAnsi="Arial" w:eastAsia="Arial"/>
                <w:b/>
                <w:i w:val="0"/>
                <w:sz w:val="20"/>
              </w:rPr>
              <w:t>Amount Insured</w:t>
            </w:r>
          </w:p>
          <w:p>
            <w:pPr>
              <w:spacing w:before="40"/>
            </w:pPr>
            <w:r>
              <w:rPr>
                <w:rFonts w:ascii="Arial" w:hAnsi="Arial" w:eastAsia="Arial"/>
                <w:b w:val="0"/>
                <w:i w:val="0"/>
                <w:color w:val="999999"/>
                <w:sz w:val="16"/>
              </w:rPr>
              <w:t>Calculated according to the markup percentage stipulated in the letter of credit or contract, usually 110% of the invoice value. It must be expressed in both words and figures, and the currency must be consistent with the letter of credit.</w:t>
            </w:r>
          </w:p>
        </w:tc>
        <w:tc>
          <w:tcPr>
            <w:tcW w:type="dxa" w:w="5102"/>
          </w:tcPr>
          <w:p>
            <w:r/>
          </w:p>
        </w:tc>
      </w:tr>
      <w:tr>
        <w:tc>
          <w:tcPr>
            <w:tcW w:type="dxa" w:w="4535"/>
          </w:tcPr>
          <w:p>
            <w:r/>
            <w:r>
              <w:rPr>
                <w:rFonts w:ascii="Arial" w:hAnsi="Arial" w:eastAsia="Arial"/>
                <w:b/>
                <w:i w:val="0"/>
                <w:sz w:val="20"/>
              </w:rPr>
              <w:t>Coverage</w:t>
            </w:r>
          </w:p>
          <w:p>
            <w:pPr>
              <w:spacing w:before="40"/>
            </w:pPr>
            <w:r>
              <w:rPr>
                <w:rFonts w:ascii="Arial" w:hAnsi="Arial" w:eastAsia="Arial"/>
                <w:b w:val="0"/>
                <w:i w:val="0"/>
                <w:color w:val="999999"/>
                <w:sz w:val="16"/>
              </w:rPr>
              <w:t>Fill in according to the requirements of the letter of credit, such as Free from Particular Average, With Particular Average, All Risks, etc., and indicate the applicable clauses (such as the People's Insurance Company of China clauses or the London Institute clauses).</w:t>
            </w:r>
          </w:p>
        </w:tc>
        <w:tc>
          <w:tcPr>
            <w:tcW w:type="dxa" w:w="5102"/>
          </w:tcPr>
          <w:p>
            <w:r/>
          </w:p>
        </w:tc>
      </w:tr>
      <w:tr>
        <w:tc>
          <w:tcPr>
            <w:tcW w:type="dxa" w:w="4535"/>
          </w:tcPr>
          <w:p>
            <w:r/>
            <w:r>
              <w:rPr>
                <w:rFonts w:ascii="Arial" w:hAnsi="Arial" w:eastAsia="Arial"/>
                <w:b/>
                <w:i w:val="0"/>
                <w:sz w:val="20"/>
              </w:rPr>
              <w:t>Description of Goods</w:t>
            </w:r>
          </w:p>
          <w:p>
            <w:pPr>
              <w:spacing w:before="40"/>
            </w:pPr>
            <w:r>
              <w:rPr>
                <w:rFonts w:ascii="Arial" w:hAnsi="Arial" w:eastAsia="Arial"/>
                <w:b w:val="0"/>
                <w:i w:val="0"/>
                <w:color w:val="999999"/>
                <w:sz w:val="16"/>
              </w:rPr>
              <w:t>Fill in the name of the goods, quantity, packaging, and marks, which should be consistent with the invoice, bill of lading, and other documents. Abbreviations may be used, but they must not conflict with the letter of credit.</w:t>
            </w:r>
          </w:p>
        </w:tc>
        <w:tc>
          <w:tcPr>
            <w:tcW w:type="dxa" w:w="5102"/>
          </w:tcPr>
          <w:p>
            <w:r/>
          </w:p>
        </w:tc>
      </w:tr>
      <w:tr>
        <w:tc>
          <w:tcPr>
            <w:tcW w:type="dxa" w:w="4535"/>
          </w:tcPr>
          <w:p>
            <w:r/>
            <w:r>
              <w:rPr>
                <w:rFonts w:ascii="Arial" w:hAnsi="Arial" w:eastAsia="Arial"/>
                <w:b/>
                <w:i w:val="0"/>
                <w:sz w:val="20"/>
              </w:rPr>
              <w:t>Means of Conveyance</w:t>
            </w:r>
          </w:p>
          <w:p>
            <w:pPr>
              <w:spacing w:before="40"/>
            </w:pPr>
            <w:r>
              <w:rPr>
                <w:rFonts w:ascii="Arial" w:hAnsi="Arial" w:eastAsia="Arial"/>
                <w:b w:val="0"/>
                <w:i w:val="0"/>
                <w:color w:val="999999"/>
                <w:sz w:val="16"/>
              </w:rPr>
              <w:t>Fill in the vessel name, voyage number, or flight number, etc. If transshipment is involved, indicate 'transshipment' and the means of transshipment. It should be consistent with the bill of lading.</w:t>
            </w:r>
          </w:p>
        </w:tc>
        <w:tc>
          <w:tcPr>
            <w:tcW w:type="dxa" w:w="5102"/>
          </w:tcPr>
          <w:p>
            <w:r/>
          </w:p>
        </w:tc>
      </w:tr>
      <w:tr>
        <w:tc>
          <w:tcPr>
            <w:tcW w:type="dxa" w:w="4535"/>
          </w:tcPr>
          <w:p>
            <w:r/>
            <w:r>
              <w:rPr>
                <w:rFonts w:ascii="Arial" w:hAnsi="Arial" w:eastAsia="Arial"/>
                <w:b/>
                <w:i w:val="0"/>
                <w:sz w:val="20"/>
              </w:rPr>
              <w:t>Date of Commencement</w:t>
            </w:r>
          </w:p>
          <w:p>
            <w:pPr>
              <w:spacing w:before="40"/>
            </w:pPr>
            <w:r>
              <w:rPr>
                <w:rFonts w:ascii="Arial" w:hAnsi="Arial" w:eastAsia="Arial"/>
                <w:b w:val="0"/>
                <w:i w:val="0"/>
                <w:color w:val="999999"/>
                <w:sz w:val="16"/>
              </w:rPr>
              <w:t>Fill in the date of shipment of the goods, usually consistent with the date of the bill of lading. If uncertain, 'as per bill of lading' may be filled in.</w:t>
            </w:r>
          </w:p>
        </w:tc>
        <w:tc>
          <w:tcPr>
            <w:tcW w:type="dxa" w:w="5102"/>
          </w:tcPr>
          <w:p>
            <w:r/>
          </w:p>
        </w:tc>
      </w:tr>
      <w:tr>
        <w:tc>
          <w:tcPr>
            <w:tcW w:type="dxa" w:w="4535"/>
          </w:tcPr>
          <w:p>
            <w:r/>
            <w:r>
              <w:rPr>
                <w:rFonts w:ascii="Arial" w:hAnsi="Arial" w:eastAsia="Arial"/>
                <w:b/>
                <w:i w:val="0"/>
                <w:sz w:val="20"/>
              </w:rPr>
              <w:t>From...To...</w:t>
            </w:r>
          </w:p>
          <w:p>
            <w:pPr>
              <w:spacing w:before="40"/>
            </w:pPr>
            <w:r>
              <w:rPr>
                <w:rFonts w:ascii="Arial" w:hAnsi="Arial" w:eastAsia="Arial"/>
                <w:b w:val="0"/>
                <w:i w:val="0"/>
                <w:color w:val="999999"/>
                <w:sz w:val="16"/>
              </w:rPr>
              <w:t>Fill in the place of departure and destination of transportation, including the transshipment place. It should be consistent with the bill of lading and comply with the requirements of the letter of credit.</w:t>
            </w:r>
          </w:p>
        </w:tc>
        <w:tc>
          <w:tcPr>
            <w:tcW w:type="dxa" w:w="5102"/>
          </w:tcPr>
          <w:p>
            <w:r/>
          </w:p>
        </w:tc>
      </w:tr>
      <w:tr>
        <w:tc>
          <w:tcPr>
            <w:tcW w:type="dxa" w:w="4535"/>
          </w:tcPr>
          <w:p>
            <w:r/>
            <w:r>
              <w:rPr>
                <w:rFonts w:ascii="Arial" w:hAnsi="Arial" w:eastAsia="Arial"/>
                <w:b/>
                <w:i w:val="0"/>
                <w:sz w:val="20"/>
              </w:rPr>
              <w:t>Claim Payable at</w:t>
            </w:r>
          </w:p>
          <w:p>
            <w:pPr>
              <w:spacing w:before="40"/>
            </w:pPr>
            <w:r>
              <w:rPr>
                <w:rFonts w:ascii="Arial" w:hAnsi="Arial" w:eastAsia="Arial"/>
                <w:b w:val="0"/>
                <w:i w:val="0"/>
                <w:color w:val="999999"/>
                <w:sz w:val="16"/>
              </w:rPr>
              <w:t>Usually the destination or the place specified in the letter of credit. If stipulated in the letter of credit, the currency of payment must be specified.</w:t>
            </w:r>
          </w:p>
        </w:tc>
        <w:tc>
          <w:tcPr>
            <w:tcW w:type="dxa" w:w="5102"/>
          </w:tcPr>
          <w:p>
            <w:r/>
          </w:p>
        </w:tc>
      </w:tr>
      <w:tr>
        <w:tc>
          <w:tcPr>
            <w:tcW w:type="dxa" w:w="4535"/>
          </w:tcPr>
          <w:p>
            <w:r/>
            <w:r>
              <w:rPr>
                <w:rFonts w:ascii="Arial" w:hAnsi="Arial" w:eastAsia="Arial"/>
                <w:b/>
                <w:i w:val="0"/>
                <w:sz w:val="20"/>
              </w:rPr>
              <w:t>Date of Issue</w:t>
            </w:r>
          </w:p>
          <w:p>
            <w:pPr>
              <w:spacing w:before="40"/>
            </w:pPr>
            <w:r>
              <w:rPr>
                <w:rFonts w:ascii="Arial" w:hAnsi="Arial" w:eastAsia="Arial"/>
                <w:b w:val="0"/>
                <w:i w:val="0"/>
                <w:color w:val="999999"/>
                <w:sz w:val="16"/>
              </w:rPr>
              <w:t>The date of issuance of the insurance policy must not be later than the date of the bill of lading; otherwise, the bank may refuse payment.</w:t>
            </w:r>
          </w:p>
        </w:tc>
        <w:tc>
          <w:tcPr>
            <w:tcW w:type="dxa" w:w="5102"/>
          </w:tcPr>
          <w:p>
            <w:r/>
          </w:p>
        </w:tc>
      </w:tr>
      <w:tr>
        <w:tc>
          <w:tcPr>
            <w:tcW w:type="dxa" w:w="4535"/>
          </w:tcPr>
          <w:p>
            <w:r/>
            <w:r>
              <w:rPr>
                <w:rFonts w:ascii="Arial" w:hAnsi="Arial" w:eastAsia="Arial"/>
                <w:b/>
                <w:i w:val="0"/>
                <w:sz w:val="20"/>
              </w:rPr>
              <w:t>Signature of Insurer</w:t>
            </w:r>
          </w:p>
          <w:p>
            <w:pPr>
              <w:spacing w:before="40"/>
            </w:pPr>
            <w:r>
              <w:rPr>
                <w:rFonts w:ascii="Arial" w:hAnsi="Arial" w:eastAsia="Arial"/>
                <w:b w:val="0"/>
                <w:i w:val="0"/>
                <w:color w:val="999999"/>
                <w:sz w:val="16"/>
              </w:rPr>
              <w:t>Signed and sealed by the insurance company or its authorized agent to ensure the original is valid.</w:t>
            </w:r>
          </w:p>
        </w:tc>
        <w:tc>
          <w:tcPr>
            <w:tcW w:type="dxa" w:w="5102"/>
          </w:tcPr>
          <w:p>
            <w:r/>
          </w:p>
        </w:tc>
      </w:tr>
      <w:tr>
        <w:tc>
          <w:tcPr>
            <w:tcW w:type="dxa" w:w="4535"/>
          </w:tcPr>
          <w:p>
            <w:r/>
            <w:r>
              <w:rPr>
                <w:rFonts w:ascii="Arial" w:hAnsi="Arial" w:eastAsia="Arial"/>
                <w:b/>
                <w:i w:val="0"/>
                <w:sz w:val="20"/>
              </w:rPr>
              <w:t>Policy Number</w:t>
            </w:r>
          </w:p>
          <w:p>
            <w:pPr>
              <w:spacing w:before="40"/>
            </w:pPr>
            <w:r>
              <w:rPr>
                <w:rFonts w:ascii="Arial" w:hAnsi="Arial" w:eastAsia="Arial"/>
                <w:b w:val="0"/>
                <w:i w:val="0"/>
                <w:color w:val="999999"/>
                <w:sz w:val="16"/>
              </w:rPr>
              <w:t>The unique barcode number issued by the insurance company for inquiry and claims settlement.</w:t>
            </w:r>
          </w:p>
        </w:tc>
        <w:tc>
          <w:tcPr>
            <w:tcW w:type="dxa" w:w="5102"/>
          </w:tcPr>
          <w:p>
            <w:r/>
          </w:p>
        </w:tc>
      </w:tr>
      <w:tr>
        <w:tc>
          <w:tcPr>
            <w:tcW w:type="dxa" w:w="4535"/>
          </w:tcPr>
          <w:p>
            <w:r/>
            <w:r>
              <w:rPr>
                <w:rFonts w:ascii="Arial" w:hAnsi="Arial" w:eastAsia="Arial"/>
                <w:b/>
                <w:i w:val="0"/>
                <w:sz w:val="20"/>
              </w:rPr>
              <w:t>Endorsement</w:t>
            </w:r>
          </w:p>
          <w:p>
            <w:pPr>
              <w:spacing w:before="40"/>
            </w:pPr>
            <w:r>
              <w:rPr>
                <w:rFonts w:ascii="Arial" w:hAnsi="Arial" w:eastAsia="Arial"/>
                <w:b w:val="0"/>
                <w:i w:val="0"/>
                <w:color w:val="999999"/>
                <w:sz w:val="16"/>
              </w:rPr>
              <w:t>If transfer is required, it shall be endorsed by the insured, usually by blank endorsement or special endorsement.</w:t>
            </w:r>
          </w:p>
        </w:tc>
        <w:tc>
          <w:tcPr>
            <w:tcW w:type="dxa" w:w="5102"/>
          </w:tcPr>
          <w:p>
            <w:r/>
          </w:p>
        </w:tc>
      </w:tr>
      <w:tr>
        <w:tc>
          <w:tcPr>
            <w:tcW w:type="dxa" w:w="4535"/>
          </w:tcPr>
          <w:p>
            <w:r/>
            <w:r>
              <w:rPr>
                <w:rFonts w:ascii="Arial" w:hAnsi="Arial" w:eastAsia="Arial"/>
                <w:b/>
                <w:i w:val="0"/>
                <w:sz w:val="20"/>
              </w:rPr>
              <w:t>Special Conditions</w:t>
            </w:r>
          </w:p>
          <w:p>
            <w:pPr>
              <w:spacing w:before="40"/>
            </w:pPr>
            <w:r>
              <w:rPr>
                <w:rFonts w:ascii="Arial" w:hAnsi="Arial" w:eastAsia="Arial"/>
                <w:b w:val="0"/>
                <w:i w:val="0"/>
                <w:color w:val="999999"/>
                <w:sz w:val="16"/>
              </w:rPr>
              <w:t>Such as deductible, extended liability, etc., filled in according to the requirements of the letter of credit or contract.</w:t>
            </w:r>
          </w:p>
        </w:tc>
        <w:tc>
          <w:tcPr>
            <w:tcW w:type="dxa" w:w="5102"/>
          </w:tcPr>
          <w:p>
            <w:r/>
          </w:p>
        </w:tc>
      </w:tr>
      <w:tr>
        <w:tc>
          <w:tcPr>
            <w:tcW w:type="dxa" w:w="4535"/>
          </w:tcPr>
          <w:p>
            <w:r/>
            <w:r>
              <w:rPr>
                <w:rFonts w:ascii="Arial" w:hAnsi="Arial" w:eastAsia="Arial"/>
                <w:b/>
                <w:i w:val="0"/>
                <w:sz w:val="20"/>
              </w:rPr>
              <w:t>Number of Originals</w:t>
            </w:r>
          </w:p>
          <w:p>
            <w:pPr>
              <w:spacing w:before="40"/>
            </w:pPr>
            <w:r>
              <w:rPr>
                <w:rFonts w:ascii="Arial" w:hAnsi="Arial" w:eastAsia="Arial"/>
                <w:b w:val="0"/>
                <w:i w:val="0"/>
                <w:color w:val="999999"/>
                <w:sz w:val="16"/>
              </w:rPr>
              <w:t>Fill in the number of originals, usually in a set of several copies, as stipulated in the letter of credit.</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