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Arial"/>
          <w:b/>
          <w:i w:val="0"/>
          <w:color w:val="1F3A5F"/>
          <w:sz w:val="36"/>
        </w:rPr>
        <w:t>L/C Documents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Arial" w:hAnsi="Arial" w:eastAsia="Arial"/>
                <w:b/>
                <w:i w:val="0"/>
                <w:sz w:val="22"/>
              </w:rPr>
              <w:t>Field</w:t>
            </w:r>
          </w:p>
        </w:tc>
        <w:tc>
          <w:tcPr>
            <w:tcW w:type="dxa" w:w="4819"/>
          </w:tcPr>
          <w:p>
            <w:r/>
            <w:r>
              <w:rPr>
                <w:rFonts w:ascii="Arial" w:hAnsi="Arial" w:eastAsia="Arial"/>
                <w:b/>
                <w:i w:val="0"/>
                <w:sz w:val="22"/>
              </w:rPr>
              <w:t>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L/C No.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number marked by the issuing bank in the letter of credit; it must be completely identical to the original L/C, with no omissions or misalignment.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Beneficiary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full name of the exporter; it must be completely identical to the beneficiary column in the L/C, including punctuation, spaces, and abbreviations.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Applicant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full name of the importer; it must be consistent with the applicant column in the L/C, and care should be taken not to omit the address and country.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Document Title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specific document name according to the L/C requirements, such as commercial invoice, packing list, bill of lading, etc. Do not create names on your own.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Invoice No.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invoice number assigned by the exporter, usually linked to other documents, and it must remain consistent across the full set of documents.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Invoice Date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date of invoice issuance; it must not be later than the presentation period and validity period stipulated in the L/C, and should be earlier than or equal to the bill of lading date.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Description of Goods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goods name, specifications, quantity, etc., which must strictly comply with the L/C and may not be arbitrarily added, reduced, or modified.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Quantity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quantity and unit of the goods, which must comply with the L/C provisions, and pay attention to the allowable range under the more or less clause.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Unit Price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unit price and trade term of the goods, which must comply with the L/C, and pay attention to the currency and amount unit.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Total Amount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total invoice amount, which must be consistent with the L/C amount and must not exceed the available balance under the L/C.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B/L No.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bill of lading number issued by the carrier, which must be consistent with the original bill of lading for the bank to verify.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Port of Loading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actual port of loading, which must comply with the L/C provisions, and pay attention to the spelling of the port name and country.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Port of Discharge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port of discharge, which must comply with the L/C, and note whether transshipment is allowed.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Shipment Date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actual shipment date; it must not be later than the latest shipment date stipulated in the L/C and must be consistent with the bill of lading date.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Presentation Period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presentation date, which must be within the presentation period stipulated in the L/C and no later than the L/C validity period.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Arial" w:hAnsi="Arial" w:eastAsia="Arial"/>
          <w:b w:val="0"/>
          <w:i w:val="0"/>
          <w:sz w:val="22"/>
        </w:rPr>
        <w:t>Signature: ______________________</w:t>
      </w:r>
    </w:p>
    <w:p/>
    <w:p>
      <w:r>
        <w:rPr>
          <w:rFonts w:ascii="Arial" w:hAnsi="Arial" w:eastAsia="Arial"/>
          <w:b w:val="0"/>
          <w:i w:val="0"/>
          <w:color w:val="996600"/>
          <w:sz w:val="18"/>
        </w:rPr>
        <w:t>Disclaimer: 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