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形式发票 / Proforma Invoice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Proforma Invoice No.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形式发票号码，由出口商自行编制，需唯一且连续，便于双方检索与对账。通常与后续商业发票号码关联，但不可混用。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Date of Issue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签发日期，应晚于询盘日期、早于合同或信用证日期。需与信用证开立日期、装运期保持逻辑一致。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Seller / Exporter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出口商全称、详细地址、电话、传真、邮箱及税号。必须与营业执照、海关备案及信用证受益人一致。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Buyer / Importer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进口商全称、详细地址、电话、传真、邮箱及税号。必须与信用证申请人、进口报关单收货人一致。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Terms of Payment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付款方式，如T/T、L/C、D/P、O/A等，需明确比例与时间节点。信用证项下应注明信用证类型及开证行。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Terms of Delivery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贸易术语，如FOB、CIF、EXW等，需注明Incoterms®版本及指定港口或地点。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Description of Goods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货物描述，包括品名、规格、型号、材质、用途等，应与HS编码归类一致，避免模糊表述。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Quantity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数量，需注明计量单位（如PCS、SETS、KGS）及溢短装条款。应与装箱单、提单一致。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Unit Price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单价，包含币种、单位、贸易术语下的价格构成。需与总价、信用证金额严格对应。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Total Amount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总金额，大小写一致，币种明确。需与信用证金额、保险金额（如CIF）保持逻辑关系。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Port of Loading / Discharge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装运港和目的港，需具体明确，避免使用“Any Chinese Port”等模糊表述。应与贸易术语匹配。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Country of Origin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原产国，需准确填写，影响关税优惠及原产地证办理。应与实际生产地一致。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Validity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报价有效期，通常为30-60天，需明确起止日期。过期后需重新确认或更新PI。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Bank Information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收款银行名称、地址、SWIFT代码、账号、受益人。需与信用证交单行或合同约定一致。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Signature / Stamp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出口商签字或盖章，通常为手签加公司章。需与后续单证签章一致，确保法律效力。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