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i w:val="0"/>
          <w:color w:val="1F3A5F"/>
          <w:sz w:val="36"/>
        </w:rPr>
        <w:t>Proforma Invoice</w:t>
      </w:r>
    </w:p>
    <w:p/>
    <w:tbl>
      <w:tblPr>
        <w:tblStyle w:val="TableGrid"/>
        <w:tblW w:type="auto" w:w="0"/>
        <w:tblLook w:firstColumn="1" w:firstRow="1" w:lastColumn="0" w:lastRow="0" w:noHBand="0" w:noVBand="1" w:val="04A0"/>
      </w:tblPr>
      <w:tblGrid>
        <w:gridCol w:w="4535"/>
        <w:gridCol w:w="5102"/>
      </w:tblGrid>
      <w:tr>
        <w:tc>
          <w:tcPr>
            <w:tcW w:type="dxa" w:w="4819"/>
          </w:tcPr>
          <w:p>
            <w:r/>
            <w:r>
              <w:rPr>
                <w:rFonts w:ascii="Arial" w:hAnsi="Arial" w:eastAsia="Arial"/>
                <w:b/>
                <w:i w:val="0"/>
                <w:sz w:val="22"/>
              </w:rPr>
              <w:t>Field</w:t>
            </w:r>
          </w:p>
        </w:tc>
        <w:tc>
          <w:tcPr>
            <w:tcW w:type="dxa" w:w="4819"/>
          </w:tcPr>
          <w:p>
            <w:r/>
            <w:r>
              <w:rPr>
                <w:rFonts w:ascii="Arial" w:hAnsi="Arial" w:eastAsia="Arial"/>
                <w:b/>
                <w:i w:val="0"/>
                <w:sz w:val="22"/>
              </w:rPr>
              <w:t>Content</w:t>
            </w:r>
          </w:p>
        </w:tc>
      </w:tr>
      <w:tr>
        <w:tc>
          <w:tcPr>
            <w:tcW w:type="dxa" w:w="4535"/>
          </w:tcPr>
          <w:p>
            <w:r/>
            <w:r>
              <w:rPr>
                <w:rFonts w:ascii="Arial" w:hAnsi="Arial" w:eastAsia="Arial"/>
                <w:b/>
                <w:i w:val="0"/>
                <w:sz w:val="20"/>
              </w:rPr>
              <w:t>Proforma Invoice No.</w:t>
            </w:r>
          </w:p>
          <w:p>
            <w:pPr>
              <w:spacing w:before="40"/>
            </w:pPr>
            <w:r>
              <w:rPr>
                <w:rFonts w:ascii="Arial" w:hAnsi="Arial" w:eastAsia="Arial"/>
                <w:b w:val="0"/>
                <w:i w:val="0"/>
                <w:color w:val="999999"/>
                <w:sz w:val="16"/>
              </w:rPr>
              <w:t>Proforma invoice number, compiled by the exporter, must be unique and consecutive for easy retrieval and reconciliation by both parties. It is usually associated with the subsequent commercial invoice number, but the two must not be confused.</w:t>
            </w:r>
          </w:p>
        </w:tc>
        <w:tc>
          <w:tcPr>
            <w:tcW w:type="dxa" w:w="5102"/>
          </w:tcPr>
          <w:p>
            <w:r/>
          </w:p>
        </w:tc>
      </w:tr>
      <w:tr>
        <w:tc>
          <w:tcPr>
            <w:tcW w:type="dxa" w:w="4535"/>
          </w:tcPr>
          <w:p>
            <w:r/>
            <w:r>
              <w:rPr>
                <w:rFonts w:ascii="Arial" w:hAnsi="Arial" w:eastAsia="Arial"/>
                <w:b/>
                <w:i w:val="0"/>
                <w:sz w:val="20"/>
              </w:rPr>
              <w:t>Date of Issue</w:t>
            </w:r>
          </w:p>
          <w:p>
            <w:pPr>
              <w:spacing w:before="40"/>
            </w:pPr>
            <w:r>
              <w:rPr>
                <w:rFonts w:ascii="Arial" w:hAnsi="Arial" w:eastAsia="Arial"/>
                <w:b w:val="0"/>
                <w:i w:val="0"/>
                <w:color w:val="999999"/>
                <w:sz w:val="16"/>
              </w:rPr>
              <w:t>Date of issue, should be later than the inquiry date and earlier than the contract or letter of credit date. It must be logically consistent with the letter of credit opening date and shipment date.</w:t>
            </w:r>
          </w:p>
        </w:tc>
        <w:tc>
          <w:tcPr>
            <w:tcW w:type="dxa" w:w="5102"/>
          </w:tcPr>
          <w:p>
            <w:r/>
          </w:p>
        </w:tc>
      </w:tr>
      <w:tr>
        <w:tc>
          <w:tcPr>
            <w:tcW w:type="dxa" w:w="4535"/>
          </w:tcPr>
          <w:p>
            <w:r/>
            <w:r>
              <w:rPr>
                <w:rFonts w:ascii="Arial" w:hAnsi="Arial" w:eastAsia="Arial"/>
                <w:b/>
                <w:i w:val="0"/>
                <w:sz w:val="20"/>
              </w:rPr>
              <w:t>Seller / Exporter</w:t>
            </w:r>
          </w:p>
          <w:p>
            <w:pPr>
              <w:spacing w:before="40"/>
            </w:pPr>
            <w:r>
              <w:rPr>
                <w:rFonts w:ascii="Arial" w:hAnsi="Arial" w:eastAsia="Arial"/>
                <w:b w:val="0"/>
                <w:i w:val="0"/>
                <w:color w:val="999999"/>
                <w:sz w:val="16"/>
              </w:rPr>
              <w:t>Exporter's full name, detailed address, telephone, fax, email, and tax number. Must be consistent with the business license, customs registration, and letter of credit beneficiary.</w:t>
            </w:r>
          </w:p>
        </w:tc>
        <w:tc>
          <w:tcPr>
            <w:tcW w:type="dxa" w:w="5102"/>
          </w:tcPr>
          <w:p>
            <w:r/>
          </w:p>
        </w:tc>
      </w:tr>
      <w:tr>
        <w:tc>
          <w:tcPr>
            <w:tcW w:type="dxa" w:w="4535"/>
          </w:tcPr>
          <w:p>
            <w:r/>
            <w:r>
              <w:rPr>
                <w:rFonts w:ascii="Arial" w:hAnsi="Arial" w:eastAsia="Arial"/>
                <w:b/>
                <w:i w:val="0"/>
                <w:sz w:val="20"/>
              </w:rPr>
              <w:t>Buyer / Importer</w:t>
            </w:r>
          </w:p>
          <w:p>
            <w:pPr>
              <w:spacing w:before="40"/>
            </w:pPr>
            <w:r>
              <w:rPr>
                <w:rFonts w:ascii="Arial" w:hAnsi="Arial" w:eastAsia="Arial"/>
                <w:b w:val="0"/>
                <w:i w:val="0"/>
                <w:color w:val="999999"/>
                <w:sz w:val="16"/>
              </w:rPr>
              <w:t>Importer's full name, detailed address, telephone, fax, email, and tax number. Must be consistent with the letter of credit applicant and the consignee on the import customs declaration.</w:t>
            </w:r>
          </w:p>
        </w:tc>
        <w:tc>
          <w:tcPr>
            <w:tcW w:type="dxa" w:w="5102"/>
          </w:tcPr>
          <w:p>
            <w:r/>
          </w:p>
        </w:tc>
      </w:tr>
      <w:tr>
        <w:tc>
          <w:tcPr>
            <w:tcW w:type="dxa" w:w="4535"/>
          </w:tcPr>
          <w:p>
            <w:r/>
            <w:r>
              <w:rPr>
                <w:rFonts w:ascii="Arial" w:hAnsi="Arial" w:eastAsia="Arial"/>
                <w:b/>
                <w:i w:val="0"/>
                <w:sz w:val="20"/>
              </w:rPr>
              <w:t>Terms of Payment</w:t>
            </w:r>
          </w:p>
          <w:p>
            <w:pPr>
              <w:spacing w:before="40"/>
            </w:pPr>
            <w:r>
              <w:rPr>
                <w:rFonts w:ascii="Arial" w:hAnsi="Arial" w:eastAsia="Arial"/>
                <w:b w:val="0"/>
                <w:i w:val="0"/>
                <w:color w:val="999999"/>
                <w:sz w:val="16"/>
              </w:rPr>
              <w:t>Payment methods, such as T/T, L/C, D/P, O/A, etc., must specify proportions and time nodes. Under a letter of credit, the type of letter of credit and the issuing bank should be indicated.</w:t>
            </w:r>
          </w:p>
        </w:tc>
        <w:tc>
          <w:tcPr>
            <w:tcW w:type="dxa" w:w="5102"/>
          </w:tcPr>
          <w:p>
            <w:r/>
          </w:p>
        </w:tc>
      </w:tr>
      <w:tr>
        <w:tc>
          <w:tcPr>
            <w:tcW w:type="dxa" w:w="4535"/>
          </w:tcPr>
          <w:p>
            <w:r/>
            <w:r>
              <w:rPr>
                <w:rFonts w:ascii="Arial" w:hAnsi="Arial" w:eastAsia="Arial"/>
                <w:b/>
                <w:i w:val="0"/>
                <w:sz w:val="20"/>
              </w:rPr>
              <w:t>Terms of Delivery</w:t>
            </w:r>
          </w:p>
          <w:p>
            <w:pPr>
              <w:spacing w:before="40"/>
            </w:pPr>
            <w:r>
              <w:rPr>
                <w:rFonts w:ascii="Arial" w:hAnsi="Arial" w:eastAsia="Arial"/>
                <w:b w:val="0"/>
                <w:i w:val="0"/>
                <w:color w:val="999999"/>
                <w:sz w:val="16"/>
              </w:rPr>
              <w:t>Trade terms, such as FOB, CIF, EXW, etc., must indicate the Incoterms® version and the designated port or place.</w:t>
            </w:r>
          </w:p>
        </w:tc>
        <w:tc>
          <w:tcPr>
            <w:tcW w:type="dxa" w:w="5102"/>
          </w:tcPr>
          <w:p>
            <w:r/>
          </w:p>
        </w:tc>
      </w:tr>
      <w:tr>
        <w:tc>
          <w:tcPr>
            <w:tcW w:type="dxa" w:w="4535"/>
          </w:tcPr>
          <w:p>
            <w:r/>
            <w:r>
              <w:rPr>
                <w:rFonts w:ascii="Arial" w:hAnsi="Arial" w:eastAsia="Arial"/>
                <w:b/>
                <w:i w:val="0"/>
                <w:sz w:val="20"/>
              </w:rPr>
              <w:t>Description of Goods</w:t>
            </w:r>
          </w:p>
          <w:p>
            <w:pPr>
              <w:spacing w:before="40"/>
            </w:pPr>
            <w:r>
              <w:rPr>
                <w:rFonts w:ascii="Arial" w:hAnsi="Arial" w:eastAsia="Arial"/>
                <w:b w:val="0"/>
                <w:i w:val="0"/>
                <w:color w:val="999999"/>
                <w:sz w:val="16"/>
              </w:rPr>
              <w:t>Description of goods, including product name, specifications, model, material, use, etc., should be consistent with HS code classification and avoid vague expressions.</w:t>
            </w:r>
          </w:p>
        </w:tc>
        <w:tc>
          <w:tcPr>
            <w:tcW w:type="dxa" w:w="5102"/>
          </w:tcPr>
          <w:p>
            <w:r/>
          </w:p>
        </w:tc>
      </w:tr>
      <w:tr>
        <w:tc>
          <w:tcPr>
            <w:tcW w:type="dxa" w:w="4535"/>
          </w:tcPr>
          <w:p>
            <w:r/>
            <w:r>
              <w:rPr>
                <w:rFonts w:ascii="Arial" w:hAnsi="Arial" w:eastAsia="Arial"/>
                <w:b/>
                <w:i w:val="0"/>
                <w:sz w:val="20"/>
              </w:rPr>
              <w:t>Quantity</w:t>
            </w:r>
          </w:p>
          <w:p>
            <w:pPr>
              <w:spacing w:before="40"/>
            </w:pPr>
            <w:r>
              <w:rPr>
                <w:rFonts w:ascii="Arial" w:hAnsi="Arial" w:eastAsia="Arial"/>
                <w:b w:val="0"/>
                <w:i w:val="0"/>
                <w:color w:val="999999"/>
                <w:sz w:val="16"/>
              </w:rPr>
              <w:t>Quantity, must indicate the unit of measurement (such as PCS, SETS, KGS) and the more or less clause. Should be consistent with the packing list and bill of lading.</w:t>
            </w:r>
          </w:p>
        </w:tc>
        <w:tc>
          <w:tcPr>
            <w:tcW w:type="dxa" w:w="5102"/>
          </w:tcPr>
          <w:p>
            <w:r/>
          </w:p>
        </w:tc>
      </w:tr>
      <w:tr>
        <w:tc>
          <w:tcPr>
            <w:tcW w:type="dxa" w:w="4535"/>
          </w:tcPr>
          <w:p>
            <w:r/>
            <w:r>
              <w:rPr>
                <w:rFonts w:ascii="Arial" w:hAnsi="Arial" w:eastAsia="Arial"/>
                <w:b/>
                <w:i w:val="0"/>
                <w:sz w:val="20"/>
              </w:rPr>
              <w:t>Unit Price</w:t>
            </w:r>
          </w:p>
          <w:p>
            <w:pPr>
              <w:spacing w:before="40"/>
            </w:pPr>
            <w:r>
              <w:rPr>
                <w:rFonts w:ascii="Arial" w:hAnsi="Arial" w:eastAsia="Arial"/>
                <w:b w:val="0"/>
                <w:i w:val="0"/>
                <w:color w:val="999999"/>
                <w:sz w:val="16"/>
              </w:rPr>
              <w:t>Unit price, including currency, unit, and price composition under the trade term. Must strictly correspond to the total price and letter of credit amount.</w:t>
            </w:r>
          </w:p>
        </w:tc>
        <w:tc>
          <w:tcPr>
            <w:tcW w:type="dxa" w:w="5102"/>
          </w:tcPr>
          <w:p>
            <w:r/>
          </w:p>
        </w:tc>
      </w:tr>
      <w:tr>
        <w:tc>
          <w:tcPr>
            <w:tcW w:type="dxa" w:w="4535"/>
          </w:tcPr>
          <w:p>
            <w:r/>
            <w:r>
              <w:rPr>
                <w:rFonts w:ascii="Arial" w:hAnsi="Arial" w:eastAsia="Arial"/>
                <w:b/>
                <w:i w:val="0"/>
                <w:sz w:val="20"/>
              </w:rPr>
              <w:t>Total Amount</w:t>
            </w:r>
          </w:p>
          <w:p>
            <w:pPr>
              <w:spacing w:before="40"/>
            </w:pPr>
            <w:r>
              <w:rPr>
                <w:rFonts w:ascii="Arial" w:hAnsi="Arial" w:eastAsia="Arial"/>
                <w:b w:val="0"/>
                <w:i w:val="0"/>
                <w:color w:val="999999"/>
                <w:sz w:val="16"/>
              </w:rPr>
              <w:t>Total amount, consistent in figures and words, with clear currency. Must maintain a logical relationship with the letter of credit amount and insurance amount (if CIF).</w:t>
            </w:r>
          </w:p>
        </w:tc>
        <w:tc>
          <w:tcPr>
            <w:tcW w:type="dxa" w:w="5102"/>
          </w:tcPr>
          <w:p>
            <w:r/>
          </w:p>
        </w:tc>
      </w:tr>
      <w:tr>
        <w:tc>
          <w:tcPr>
            <w:tcW w:type="dxa" w:w="4535"/>
          </w:tcPr>
          <w:p>
            <w:r/>
            <w:r>
              <w:rPr>
                <w:rFonts w:ascii="Arial" w:hAnsi="Arial" w:eastAsia="Arial"/>
                <w:b/>
                <w:i w:val="0"/>
                <w:sz w:val="20"/>
              </w:rPr>
              <w:t>Port of Loading / Discharge</w:t>
            </w:r>
          </w:p>
          <w:p>
            <w:pPr>
              <w:spacing w:before="40"/>
            </w:pPr>
            <w:r>
              <w:rPr>
                <w:rFonts w:ascii="Arial" w:hAnsi="Arial" w:eastAsia="Arial"/>
                <w:b w:val="0"/>
                <w:i w:val="0"/>
                <w:color w:val="999999"/>
                <w:sz w:val="16"/>
              </w:rPr>
              <w:t>Port of loading and port of discharge, must be specific and clear, avoid vague expressions such as "Any Chinese Port". Should match the trade term.</w:t>
            </w:r>
          </w:p>
        </w:tc>
        <w:tc>
          <w:tcPr>
            <w:tcW w:type="dxa" w:w="5102"/>
          </w:tcPr>
          <w:p>
            <w:r/>
          </w:p>
        </w:tc>
      </w:tr>
      <w:tr>
        <w:tc>
          <w:tcPr>
            <w:tcW w:type="dxa" w:w="4535"/>
          </w:tcPr>
          <w:p>
            <w:r/>
            <w:r>
              <w:rPr>
                <w:rFonts w:ascii="Arial" w:hAnsi="Arial" w:eastAsia="Arial"/>
                <w:b/>
                <w:i w:val="0"/>
                <w:sz w:val="20"/>
              </w:rPr>
              <w:t>Country of Origin</w:t>
            </w:r>
          </w:p>
          <w:p>
            <w:pPr>
              <w:spacing w:before="40"/>
            </w:pPr>
            <w:r>
              <w:rPr>
                <w:rFonts w:ascii="Arial" w:hAnsi="Arial" w:eastAsia="Arial"/>
                <w:b w:val="0"/>
                <w:i w:val="0"/>
                <w:color w:val="999999"/>
                <w:sz w:val="16"/>
              </w:rPr>
              <w:t>Country of origin, must be accurately filled in, affecting tariff preferences and certificate of origin processing. Should be consistent with the actual place of production.</w:t>
            </w:r>
          </w:p>
        </w:tc>
        <w:tc>
          <w:tcPr>
            <w:tcW w:type="dxa" w:w="5102"/>
          </w:tcPr>
          <w:p>
            <w:r/>
          </w:p>
        </w:tc>
      </w:tr>
      <w:tr>
        <w:tc>
          <w:tcPr>
            <w:tcW w:type="dxa" w:w="4535"/>
          </w:tcPr>
          <w:p>
            <w:r/>
            <w:r>
              <w:rPr>
                <w:rFonts w:ascii="Arial" w:hAnsi="Arial" w:eastAsia="Arial"/>
                <w:b/>
                <w:i w:val="0"/>
                <w:sz w:val="20"/>
              </w:rPr>
              <w:t>Validity</w:t>
            </w:r>
          </w:p>
          <w:p>
            <w:pPr>
              <w:spacing w:before="40"/>
            </w:pPr>
            <w:r>
              <w:rPr>
                <w:rFonts w:ascii="Arial" w:hAnsi="Arial" w:eastAsia="Arial"/>
                <w:b w:val="0"/>
                <w:i w:val="0"/>
                <w:color w:val="999999"/>
                <w:sz w:val="16"/>
              </w:rPr>
              <w:t>Quotation validity period, usually 30-60 days, must specify start and end dates. After expiration, the PI needs to be reconfirmed or updated.</w:t>
            </w:r>
          </w:p>
        </w:tc>
        <w:tc>
          <w:tcPr>
            <w:tcW w:type="dxa" w:w="5102"/>
          </w:tcPr>
          <w:p>
            <w:r/>
          </w:p>
        </w:tc>
      </w:tr>
      <w:tr>
        <w:tc>
          <w:tcPr>
            <w:tcW w:type="dxa" w:w="4535"/>
          </w:tcPr>
          <w:p>
            <w:r/>
            <w:r>
              <w:rPr>
                <w:rFonts w:ascii="Arial" w:hAnsi="Arial" w:eastAsia="Arial"/>
                <w:b/>
                <w:i w:val="0"/>
                <w:sz w:val="20"/>
              </w:rPr>
              <w:t>Bank Information</w:t>
            </w:r>
          </w:p>
          <w:p>
            <w:pPr>
              <w:spacing w:before="40"/>
            </w:pPr>
            <w:r>
              <w:rPr>
                <w:rFonts w:ascii="Arial" w:hAnsi="Arial" w:eastAsia="Arial"/>
                <w:b w:val="0"/>
                <w:i w:val="0"/>
                <w:color w:val="999999"/>
                <w:sz w:val="16"/>
              </w:rPr>
              <w:t>Receiving bank name, address, SWIFT code, account number, beneficiary. Must be consistent with the letter of credit presenting bank or contract agreement.</w:t>
            </w:r>
          </w:p>
        </w:tc>
        <w:tc>
          <w:tcPr>
            <w:tcW w:type="dxa" w:w="5102"/>
          </w:tcPr>
          <w:p>
            <w:r/>
          </w:p>
        </w:tc>
      </w:tr>
      <w:tr>
        <w:tc>
          <w:tcPr>
            <w:tcW w:type="dxa" w:w="4535"/>
          </w:tcPr>
          <w:p>
            <w:r/>
            <w:r>
              <w:rPr>
                <w:rFonts w:ascii="Arial" w:hAnsi="Arial" w:eastAsia="Arial"/>
                <w:b/>
                <w:i w:val="0"/>
                <w:sz w:val="20"/>
              </w:rPr>
              <w:t>Signature / Stamp</w:t>
            </w:r>
          </w:p>
          <w:p>
            <w:pPr>
              <w:spacing w:before="40"/>
            </w:pPr>
            <w:r>
              <w:rPr>
                <w:rFonts w:ascii="Arial" w:hAnsi="Arial" w:eastAsia="Arial"/>
                <w:b w:val="0"/>
                <w:i w:val="0"/>
                <w:color w:val="999999"/>
                <w:sz w:val="16"/>
              </w:rPr>
              <w:t>Exporter's signature or seal, usually handwritten signature plus company seal. Must be consistent with subsequent document signatures and seals to ensure legal effect.</w:t>
            </w:r>
          </w:p>
        </w:tc>
        <w:tc>
          <w:tcPr>
            <w:tcW w:type="dxa" w:w="5102"/>
          </w:tcPr>
          <w:p>
            <w:r/>
          </w:p>
        </w:tc>
      </w:tr>
    </w:tbl>
    <w:p/>
    <w:p>
      <w:pPr>
        <w:jc w:val="right"/>
      </w:pPr>
      <w:r>
        <w:rPr>
          <w:rFonts w:ascii="Arial" w:hAnsi="Arial" w:eastAsia="Arial"/>
          <w:b w:val="0"/>
          <w:i w:val="0"/>
          <w:sz w:val="22"/>
        </w:rPr>
        <w:t>Signature: ______________________</w:t>
      </w:r>
    </w:p>
    <w:p/>
    <w:p>
      <w:r>
        <w:rPr>
          <w:rFonts w:ascii="Arial" w:hAnsi="Arial" w:eastAsia="Arial"/>
          <w:b w:val="0"/>
          <w:i w:val="0"/>
          <w:color w:val="996600"/>
          <w:sz w:val="18"/>
        </w:rPr>
        <w:t>Disclaimer: This template is for reference only. Actual filling shall be subject to the L/C, contract or importing country requirements.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