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Purchase Order</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Purchase Order Number (PO No.)</w:t>
            </w:r>
          </w:p>
          <w:p>
            <w:pPr>
              <w:spacing w:before="40"/>
            </w:pPr>
            <w:r>
              <w:rPr>
                <w:rFonts w:ascii="Arial" w:hAnsi="Arial" w:eastAsia="Arial"/>
                <w:b w:val="0"/>
                <w:i w:val="0"/>
                <w:color w:val="999999"/>
                <w:sz w:val="16"/>
              </w:rPr>
              <w:t>The buyer's internal unique identifier, usually composed of letters and numbers, used to track the order throughout the process. It should be ensured to be consistent with references in subsequent invoices, packing lists, letters of credit, and other documents.</w:t>
            </w:r>
          </w:p>
        </w:tc>
        <w:tc>
          <w:tcPr>
            <w:tcW w:type="dxa" w:w="5102"/>
          </w:tcPr>
          <w:p>
            <w:r/>
          </w:p>
        </w:tc>
      </w:tr>
      <w:tr>
        <w:tc>
          <w:tcPr>
            <w:tcW w:type="dxa" w:w="4535"/>
          </w:tcPr>
          <w:p>
            <w:r/>
            <w:r>
              <w:rPr>
                <w:rFonts w:ascii="Arial" w:hAnsi="Arial" w:eastAsia="Arial"/>
                <w:b/>
                <w:i w:val="0"/>
                <w:sz w:val="20"/>
              </w:rPr>
              <w:t>Order Date (Date)</w:t>
            </w:r>
          </w:p>
          <w:p>
            <w:pPr>
              <w:spacing w:before="40"/>
            </w:pPr>
            <w:r>
              <w:rPr>
                <w:rFonts w:ascii="Arial" w:hAnsi="Arial" w:eastAsia="Arial"/>
                <w:b w:val="0"/>
                <w:i w:val="0"/>
                <w:color w:val="999999"/>
                <w:sz w:val="16"/>
              </w:rPr>
              <w:t>The date the buyer issues the order, which is an important benchmark for determining the delivery date, letter of credit validity period, and contract formation time. The format is recommended to use the international standard format (e.g., YYYY-MM-DD).</w:t>
            </w:r>
          </w:p>
        </w:tc>
        <w:tc>
          <w:tcPr>
            <w:tcW w:type="dxa" w:w="5102"/>
          </w:tcPr>
          <w:p>
            <w:r/>
          </w:p>
        </w:tc>
      </w:tr>
      <w:tr>
        <w:tc>
          <w:tcPr>
            <w:tcW w:type="dxa" w:w="4535"/>
          </w:tcPr>
          <w:p>
            <w:r/>
            <w:r>
              <w:rPr>
                <w:rFonts w:ascii="Arial" w:hAnsi="Arial" w:eastAsia="Arial"/>
                <w:b/>
                <w:i w:val="0"/>
                <w:sz w:val="20"/>
              </w:rPr>
              <w:t>Buyer/Seller Name and Address (Buyer/Seller)</w:t>
            </w:r>
          </w:p>
          <w:p>
            <w:pPr>
              <w:spacing w:before="40"/>
            </w:pPr>
            <w:r>
              <w:rPr>
                <w:rFonts w:ascii="Arial" w:hAnsi="Arial" w:eastAsia="Arial"/>
                <w:b w:val="0"/>
                <w:i w:val="0"/>
                <w:color w:val="999999"/>
                <w:sz w:val="16"/>
              </w:rPr>
              <w:t>Must fill in the complete legal name, detailed address, and contact information. The buyer is usually the importer, and the seller is the exporter. The address should be precise to the street number to facilitate logistics and customs clearance.</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Detailed listing of the goods name, specifications, model, material, composition, use, etc. It should be consistent with HS code classification and import country access requirements, avoiding vague descriptions.</w:t>
            </w:r>
          </w:p>
        </w:tc>
        <w:tc>
          <w:tcPr>
            <w:tcW w:type="dxa" w:w="5102"/>
          </w:tcPr>
          <w:p>
            <w:r/>
          </w:p>
        </w:tc>
      </w:tr>
      <w:tr>
        <w:tc>
          <w:tcPr>
            <w:tcW w:type="dxa" w:w="4535"/>
          </w:tcPr>
          <w:p>
            <w:r/>
            <w:r>
              <w:rPr>
                <w:rFonts w:ascii="Arial" w:hAnsi="Arial" w:eastAsia="Arial"/>
                <w:b/>
                <w:i w:val="0"/>
                <w:sz w:val="20"/>
              </w:rPr>
              <w:t>Quantity</w:t>
            </w:r>
          </w:p>
          <w:p>
            <w:pPr>
              <w:spacing w:before="40"/>
            </w:pPr>
            <w:r>
              <w:rPr>
                <w:rFonts w:ascii="Arial" w:hAnsi="Arial" w:eastAsia="Arial"/>
                <w:b w:val="0"/>
                <w:i w:val="0"/>
                <w:color w:val="999999"/>
                <w:sz w:val="16"/>
              </w:rPr>
              <w:t>Clearly specify the unit of measurement (e.g., PCS, SETS, KGS, CBM) and the specific quantity. Note whether the more or less clause is allowed and whether it is consistent with the letter of credit provisions.</w:t>
            </w:r>
          </w:p>
        </w:tc>
        <w:tc>
          <w:tcPr>
            <w:tcW w:type="dxa" w:w="5102"/>
          </w:tcPr>
          <w:p>
            <w:r/>
          </w:p>
        </w:tc>
      </w:tr>
      <w:tr>
        <w:tc>
          <w:tcPr>
            <w:tcW w:type="dxa" w:w="4535"/>
          </w:tcPr>
          <w:p>
            <w:r/>
            <w:r>
              <w:rPr>
                <w:rFonts w:ascii="Arial" w:hAnsi="Arial" w:eastAsia="Arial"/>
                <w:b/>
                <w:i w:val="0"/>
                <w:sz w:val="20"/>
              </w:rPr>
              <w:t>Unit Price &amp; Total Amount</w:t>
            </w:r>
          </w:p>
          <w:p>
            <w:pPr>
              <w:spacing w:before="40"/>
            </w:pPr>
            <w:r>
              <w:rPr>
                <w:rFonts w:ascii="Arial" w:hAnsi="Arial" w:eastAsia="Arial"/>
                <w:b w:val="0"/>
                <w:i w:val="0"/>
                <w:color w:val="999999"/>
                <w:sz w:val="16"/>
              </w:rPr>
              <w:t>Indicate the currency, unit price, trade terms (e.g., FOB, CIF), and total amount. The price should include or clearly exclude commission, discount, packaging fees, etc.</w:t>
            </w:r>
          </w:p>
        </w:tc>
        <w:tc>
          <w:tcPr>
            <w:tcW w:type="dxa" w:w="5102"/>
          </w:tcPr>
          <w:p>
            <w:r/>
          </w:p>
        </w:tc>
      </w:tr>
      <w:tr>
        <w:tc>
          <w:tcPr>
            <w:tcW w:type="dxa" w:w="4535"/>
          </w:tcPr>
          <w:p>
            <w:r/>
            <w:r>
              <w:rPr>
                <w:rFonts w:ascii="Arial" w:hAnsi="Arial" w:eastAsia="Arial"/>
                <w:b/>
                <w:i w:val="0"/>
                <w:sz w:val="20"/>
              </w:rPr>
              <w:t>Trade Terms</w:t>
            </w:r>
          </w:p>
          <w:p>
            <w:pPr>
              <w:spacing w:before="40"/>
            </w:pPr>
            <w:r>
              <w:rPr>
                <w:rFonts w:ascii="Arial" w:hAnsi="Arial" w:eastAsia="Arial"/>
                <w:b w:val="0"/>
                <w:i w:val="0"/>
                <w:color w:val="999999"/>
                <w:sz w:val="16"/>
              </w:rPr>
              <w:t>Adopt internationally accepted rules such as INCOTERMS 2020 to clarify the point of risk and cost division. For example, FOB Shanghai, CIF New York, etc., and the version must be indicated.</w:t>
            </w:r>
          </w:p>
        </w:tc>
        <w:tc>
          <w:tcPr>
            <w:tcW w:type="dxa" w:w="5102"/>
          </w:tcPr>
          <w:p>
            <w:r/>
          </w:p>
        </w:tc>
      </w:tr>
      <w:tr>
        <w:tc>
          <w:tcPr>
            <w:tcW w:type="dxa" w:w="4535"/>
          </w:tcPr>
          <w:p>
            <w:r/>
            <w:r>
              <w:rPr>
                <w:rFonts w:ascii="Arial" w:hAnsi="Arial" w:eastAsia="Arial"/>
                <w:b/>
                <w:i w:val="0"/>
                <w:sz w:val="20"/>
              </w:rPr>
              <w:t>Delivery Date &amp; Place</w:t>
            </w:r>
          </w:p>
          <w:p>
            <w:pPr>
              <w:spacing w:before="40"/>
            </w:pPr>
            <w:r>
              <w:rPr>
                <w:rFonts w:ascii="Arial" w:hAnsi="Arial" w:eastAsia="Arial"/>
                <w:b w:val="0"/>
                <w:i w:val="0"/>
                <w:color w:val="999999"/>
                <w:sz w:val="16"/>
              </w:rPr>
              <w:t>Specify the latest shipment date, delivery place, or port of destination. It should be coordinated with the letter of credit shipment date and shipping schedule to avoid delays.</w:t>
            </w:r>
          </w:p>
        </w:tc>
        <w:tc>
          <w:tcPr>
            <w:tcW w:type="dxa" w:w="5102"/>
          </w:tcPr>
          <w:p>
            <w:r/>
          </w:p>
        </w:tc>
      </w:tr>
      <w:tr>
        <w:tc>
          <w:tcPr>
            <w:tcW w:type="dxa" w:w="4535"/>
          </w:tcPr>
          <w:p>
            <w:r/>
            <w:r>
              <w:rPr>
                <w:rFonts w:ascii="Arial" w:hAnsi="Arial" w:eastAsia="Arial"/>
                <w:b/>
                <w:i w:val="0"/>
                <w:sz w:val="20"/>
              </w:rPr>
              <w:t>Payment Terms</w:t>
            </w:r>
          </w:p>
          <w:p>
            <w:pPr>
              <w:spacing w:before="40"/>
            </w:pPr>
            <w:r>
              <w:rPr>
                <w:rFonts w:ascii="Arial" w:hAnsi="Arial" w:eastAsia="Arial"/>
                <w:b w:val="0"/>
                <w:i w:val="0"/>
                <w:color w:val="999999"/>
                <w:sz w:val="16"/>
              </w:rPr>
              <w:t>Clearly specify telegraphic transfer (T/T), letter of credit (L/C), documentary collection (D/P, D/A), etc., and indicate the deposit ratio, payment period, letter of credit type, and issuing bank.</w:t>
            </w:r>
          </w:p>
        </w:tc>
        <w:tc>
          <w:tcPr>
            <w:tcW w:type="dxa" w:w="5102"/>
          </w:tcPr>
          <w:p>
            <w:r/>
          </w:p>
        </w:tc>
      </w:tr>
      <w:tr>
        <w:tc>
          <w:tcPr>
            <w:tcW w:type="dxa" w:w="4535"/>
          </w:tcPr>
          <w:p>
            <w:r/>
            <w:r>
              <w:rPr>
                <w:rFonts w:ascii="Arial" w:hAnsi="Arial" w:eastAsia="Arial"/>
                <w:b/>
                <w:i w:val="0"/>
                <w:sz w:val="20"/>
              </w:rPr>
              <w:t>Packing Requirements</w:t>
            </w:r>
          </w:p>
          <w:p>
            <w:pPr>
              <w:spacing w:before="40"/>
            </w:pPr>
            <w:r>
              <w:rPr>
                <w:rFonts w:ascii="Arial" w:hAnsi="Arial" w:eastAsia="Arial"/>
                <w:b w:val="0"/>
                <w:i w:val="0"/>
                <w:color w:val="999999"/>
                <w:sz w:val="16"/>
              </w:rPr>
              <w:t>Specify packaging materials, methods, shipping marks, environmental requirements, etc. It must comply with the import country's wood packaging quarantine and environmental regulations.</w:t>
            </w:r>
          </w:p>
        </w:tc>
        <w:tc>
          <w:tcPr>
            <w:tcW w:type="dxa" w:w="5102"/>
          </w:tcPr>
          <w:p>
            <w:r/>
          </w:p>
        </w:tc>
      </w:tr>
      <w:tr>
        <w:tc>
          <w:tcPr>
            <w:tcW w:type="dxa" w:w="4535"/>
          </w:tcPr>
          <w:p>
            <w:r/>
            <w:r>
              <w:rPr>
                <w:rFonts w:ascii="Arial" w:hAnsi="Arial" w:eastAsia="Arial"/>
                <w:b/>
                <w:i w:val="0"/>
                <w:sz w:val="20"/>
              </w:rPr>
              <w:t>Mode of Transport</w:t>
            </w:r>
          </w:p>
          <w:p>
            <w:pPr>
              <w:spacing w:before="40"/>
            </w:pPr>
            <w:r>
              <w:rPr>
                <w:rFonts w:ascii="Arial" w:hAnsi="Arial" w:eastAsia="Arial"/>
                <w:b w:val="0"/>
                <w:i w:val="0"/>
                <w:color w:val="999999"/>
                <w:sz w:val="16"/>
              </w:rPr>
              <w:t>Indicate sea, air, land, express, etc., and whether partial shipment and transshipment are allowed. It should match the trade terms and delivery date.</w:t>
            </w:r>
          </w:p>
        </w:tc>
        <w:tc>
          <w:tcPr>
            <w:tcW w:type="dxa" w:w="5102"/>
          </w:tcPr>
          <w:p>
            <w:r/>
          </w:p>
        </w:tc>
      </w:tr>
      <w:tr>
        <w:tc>
          <w:tcPr>
            <w:tcW w:type="dxa" w:w="4535"/>
          </w:tcPr>
          <w:p>
            <w:r/>
            <w:r>
              <w:rPr>
                <w:rFonts w:ascii="Arial" w:hAnsi="Arial" w:eastAsia="Arial"/>
                <w:b/>
                <w:i w:val="0"/>
                <w:sz w:val="20"/>
              </w:rPr>
              <w:t>Insurance</w:t>
            </w:r>
          </w:p>
          <w:p>
            <w:pPr>
              <w:spacing w:before="40"/>
            </w:pPr>
            <w:r>
              <w:rPr>
                <w:rFonts w:ascii="Arial" w:hAnsi="Arial" w:eastAsia="Arial"/>
                <w:b w:val="0"/>
                <w:i w:val="0"/>
                <w:color w:val="999999"/>
                <w:sz w:val="16"/>
              </w:rPr>
              <w:t>Under terms such as CIF and CIP, the insured, type of insurance, insured amount, and insurance company must be clearly specified. Usually the insured amount is 110% of the invoice value.</w:t>
            </w:r>
          </w:p>
        </w:tc>
        <w:tc>
          <w:tcPr>
            <w:tcW w:type="dxa" w:w="5102"/>
          </w:tcPr>
          <w:p>
            <w:r/>
          </w:p>
        </w:tc>
      </w:tr>
      <w:tr>
        <w:tc>
          <w:tcPr>
            <w:tcW w:type="dxa" w:w="4535"/>
          </w:tcPr>
          <w:p>
            <w:r/>
            <w:r>
              <w:rPr>
                <w:rFonts w:ascii="Arial" w:hAnsi="Arial" w:eastAsia="Arial"/>
                <w:b/>
                <w:i w:val="0"/>
                <w:sz w:val="20"/>
              </w:rPr>
              <w:t>Documents Required</w:t>
            </w:r>
          </w:p>
          <w:p>
            <w:pPr>
              <w:spacing w:before="40"/>
            </w:pPr>
            <w:r>
              <w:rPr>
                <w:rFonts w:ascii="Arial" w:hAnsi="Arial" w:eastAsia="Arial"/>
                <w:b w:val="0"/>
                <w:i w:val="0"/>
                <w:color w:val="999999"/>
                <w:sz w:val="16"/>
              </w:rPr>
              <w:t>List the documents the seller must provide, such as commercial invoice, packing list, bill of lading, certificate of origin, quality inspection certificate, etc., and indicate the number of copies and language.</w:t>
            </w:r>
          </w:p>
        </w:tc>
        <w:tc>
          <w:tcPr>
            <w:tcW w:type="dxa" w:w="5102"/>
          </w:tcPr>
          <w:p>
            <w:r/>
          </w:p>
        </w:tc>
      </w:tr>
      <w:tr>
        <w:tc>
          <w:tcPr>
            <w:tcW w:type="dxa" w:w="4535"/>
          </w:tcPr>
          <w:p>
            <w:r/>
            <w:r>
              <w:rPr>
                <w:rFonts w:ascii="Arial" w:hAnsi="Arial" w:eastAsia="Arial"/>
                <w:b/>
                <w:i w:val="0"/>
                <w:sz w:val="20"/>
              </w:rPr>
              <w:t>Inspection &amp; Claims</w:t>
            </w:r>
          </w:p>
          <w:p>
            <w:pPr>
              <w:spacing w:before="40"/>
            </w:pPr>
            <w:r>
              <w:rPr>
                <w:rFonts w:ascii="Arial" w:hAnsi="Arial" w:eastAsia="Arial"/>
                <w:b w:val="0"/>
                <w:i w:val="0"/>
                <w:color w:val="999999"/>
                <w:sz w:val="16"/>
              </w:rPr>
              <w:t>Specify quality inspection standards, inspection agency, claim period, and method. Common ones include SGS, CIQ inspection, and the claim period is usually 30-60 days after arrival of goods.</w:t>
            </w:r>
          </w:p>
        </w:tc>
        <w:tc>
          <w:tcPr>
            <w:tcW w:type="dxa" w:w="5102"/>
          </w:tcPr>
          <w:p>
            <w:r/>
          </w:p>
        </w:tc>
      </w:tr>
      <w:tr>
        <w:tc>
          <w:tcPr>
            <w:tcW w:type="dxa" w:w="4535"/>
          </w:tcPr>
          <w:p>
            <w:r/>
            <w:r>
              <w:rPr>
                <w:rFonts w:ascii="Arial" w:hAnsi="Arial" w:eastAsia="Arial"/>
                <w:b/>
                <w:i w:val="0"/>
                <w:sz w:val="20"/>
              </w:rPr>
              <w:t>Signature &amp; Seal</w:t>
            </w:r>
          </w:p>
          <w:p>
            <w:pPr>
              <w:spacing w:before="40"/>
            </w:pPr>
            <w:r>
              <w:rPr>
                <w:rFonts w:ascii="Arial" w:hAnsi="Arial" w:eastAsia="Arial"/>
                <w:b w:val="0"/>
                <w:i w:val="0"/>
                <w:color w:val="999999"/>
                <w:sz w:val="16"/>
              </w:rPr>
              <w:t>The buyer's authorized representative signs and affixes the company seal to ensure the legal effect of the order. Electronic orders require a reliable electronic signature.</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