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Sales Confirmation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Seller's Name and Address</w:t>
            </w:r>
          </w:p>
          <w:p>
            <w:pPr>
              <w:spacing w:before="40"/>
            </w:pPr>
            <w:r>
              <w:rPr>
                <w:rFonts w:ascii="Arial" w:hAnsi="Arial" w:eastAsia="Arial"/>
                <w:b w:val="0"/>
                <w:i w:val="0"/>
                <w:color w:val="999999"/>
                <w:sz w:val="16"/>
              </w:rPr>
              <w:t>Fill in the exporter's complete legal name, detailed address, telephone, fax and email, ensuring consistency with the business license and customs registration information.</w:t>
            </w:r>
          </w:p>
        </w:tc>
        <w:tc>
          <w:tcPr>
            <w:tcW w:type="dxa" w:w="5102"/>
          </w:tcPr>
          <w:p>
            <w:r/>
          </w:p>
        </w:tc>
      </w:tr>
      <w:tr>
        <w:tc>
          <w:tcPr>
            <w:tcW w:type="dxa" w:w="4535"/>
          </w:tcPr>
          <w:p>
            <w:r/>
            <w:r>
              <w:rPr>
                <w:rFonts w:ascii="Arial" w:hAnsi="Arial" w:eastAsia="Arial"/>
                <w:b/>
                <w:i w:val="0"/>
                <w:sz w:val="20"/>
              </w:rPr>
              <w:t>Buyer's Name and Address</w:t>
            </w:r>
          </w:p>
          <w:p>
            <w:pPr>
              <w:spacing w:before="40"/>
            </w:pPr>
            <w:r>
              <w:rPr>
                <w:rFonts w:ascii="Arial" w:hAnsi="Arial" w:eastAsia="Arial"/>
                <w:b w:val="0"/>
                <w:i w:val="0"/>
                <w:color w:val="999999"/>
                <w:sz w:val="16"/>
              </w:rPr>
              <w:t>Fill in the importer's complete legal name, detailed address and contact information, which should be consistent with the buyer's registration information in its country and the letter of credit applicant.</w:t>
            </w:r>
          </w:p>
        </w:tc>
        <w:tc>
          <w:tcPr>
            <w:tcW w:type="dxa" w:w="5102"/>
          </w:tcPr>
          <w:p>
            <w:r/>
          </w:p>
        </w:tc>
      </w:tr>
      <w:tr>
        <w:tc>
          <w:tcPr>
            <w:tcW w:type="dxa" w:w="4535"/>
          </w:tcPr>
          <w:p>
            <w:r/>
            <w:r>
              <w:rPr>
                <w:rFonts w:ascii="Arial" w:hAnsi="Arial" w:eastAsia="Arial"/>
                <w:b/>
                <w:i w:val="0"/>
                <w:sz w:val="20"/>
              </w:rPr>
              <w:t>Sales Confirmation Number</w:t>
            </w:r>
          </w:p>
          <w:p>
            <w:pPr>
              <w:spacing w:before="40"/>
            </w:pPr>
            <w:r>
              <w:rPr>
                <w:rFonts w:ascii="Arial" w:hAnsi="Arial" w:eastAsia="Arial"/>
                <w:b w:val="0"/>
                <w:i w:val="0"/>
                <w:color w:val="999999"/>
                <w:sz w:val="16"/>
              </w:rPr>
              <w:t>A unique identification number compiled by the seller, usually including the year, company code and serial number, used for tracking and filing throughout the process.</w:t>
            </w:r>
          </w:p>
        </w:tc>
        <w:tc>
          <w:tcPr>
            <w:tcW w:type="dxa" w:w="5102"/>
          </w:tcPr>
          <w:p>
            <w:r/>
          </w:p>
        </w:tc>
      </w:tr>
      <w:tr>
        <w:tc>
          <w:tcPr>
            <w:tcW w:type="dxa" w:w="4535"/>
          </w:tcPr>
          <w:p>
            <w:r/>
            <w:r>
              <w:rPr>
                <w:rFonts w:ascii="Arial" w:hAnsi="Arial" w:eastAsia="Arial"/>
                <w:b/>
                <w:i w:val="0"/>
                <w:sz w:val="20"/>
              </w:rPr>
              <w:t>Date</w:t>
            </w:r>
          </w:p>
          <w:p>
            <w:pPr>
              <w:spacing w:before="40"/>
            </w:pPr>
            <w:r>
              <w:rPr>
                <w:rFonts w:ascii="Arial" w:hAnsi="Arial" w:eastAsia="Arial"/>
                <w:b w:val="0"/>
                <w:i w:val="0"/>
                <w:color w:val="999999"/>
                <w:sz w:val="16"/>
              </w:rPr>
              <w:t>Fill in the date of issuance of the Sales Confirmation, which should be earlier than or equal to the contract effective date, and pay attention to the logical relationship with the letter of credit opening date.</w:t>
            </w:r>
          </w:p>
        </w:tc>
        <w:tc>
          <w:tcPr>
            <w:tcW w:type="dxa" w:w="5102"/>
          </w:tcPr>
          <w:p>
            <w:r/>
          </w:p>
        </w:tc>
      </w:tr>
      <w:tr>
        <w:tc>
          <w:tcPr>
            <w:tcW w:type="dxa" w:w="4535"/>
          </w:tcPr>
          <w:p>
            <w:r/>
            <w:r>
              <w:rPr>
                <w:rFonts w:ascii="Arial" w:hAnsi="Arial" w:eastAsia="Arial"/>
                <w:b/>
                <w:i w:val="0"/>
                <w:sz w:val="20"/>
              </w:rPr>
              <w:t>Commodity Name and Specifications</w:t>
            </w:r>
          </w:p>
          <w:p>
            <w:pPr>
              <w:spacing w:before="40"/>
            </w:pPr>
            <w:r>
              <w:rPr>
                <w:rFonts w:ascii="Arial" w:hAnsi="Arial" w:eastAsia="Arial"/>
                <w:b w:val="0"/>
                <w:i w:val="0"/>
                <w:color w:val="999999"/>
                <w:sz w:val="16"/>
              </w:rPr>
              <w:t>Accurately describe the goods name, model, material, grade, etc. according to international trade standards or mutual agreement, avoiding vague or ambiguous expressions.</w:t>
            </w:r>
          </w:p>
        </w:tc>
        <w:tc>
          <w:tcPr>
            <w:tcW w:type="dxa" w:w="5102"/>
          </w:tcPr>
          <w:p>
            <w:r/>
          </w:p>
        </w:tc>
      </w:tr>
      <w:tr>
        <w:tc>
          <w:tcPr>
            <w:tcW w:type="dxa" w:w="4535"/>
          </w:tcPr>
          <w:p>
            <w:r/>
            <w:r>
              <w:rPr>
                <w:rFonts w:ascii="Arial" w:hAnsi="Arial" w:eastAsia="Arial"/>
                <w:b/>
                <w:i w:val="0"/>
                <w:sz w:val="20"/>
              </w:rPr>
              <w:t>Quantity and Unit</w:t>
            </w:r>
          </w:p>
          <w:p>
            <w:pPr>
              <w:spacing w:before="40"/>
            </w:pPr>
            <w:r>
              <w:rPr>
                <w:rFonts w:ascii="Arial" w:hAnsi="Arial" w:eastAsia="Arial"/>
                <w:b w:val="0"/>
                <w:i w:val="0"/>
                <w:color w:val="999999"/>
                <w:sz w:val="16"/>
              </w:rPr>
              <w:t>Clearly specify the unit of measurement (such as piece, set, kilogram, meter) and the specific quantity, ensuring consistency with the packing list, invoice and letter of credit.</w:t>
            </w:r>
          </w:p>
        </w:tc>
        <w:tc>
          <w:tcPr>
            <w:tcW w:type="dxa" w:w="5102"/>
          </w:tcPr>
          <w:p>
            <w:r/>
          </w:p>
        </w:tc>
      </w:tr>
      <w:tr>
        <w:tc>
          <w:tcPr>
            <w:tcW w:type="dxa" w:w="4535"/>
          </w:tcPr>
          <w:p>
            <w:r/>
            <w:r>
              <w:rPr>
                <w:rFonts w:ascii="Arial" w:hAnsi="Arial" w:eastAsia="Arial"/>
                <w:b/>
                <w:i w:val="0"/>
                <w:sz w:val="20"/>
              </w:rPr>
              <w:t>Unit Price and Total Price</w:t>
            </w:r>
          </w:p>
          <w:p>
            <w:pPr>
              <w:spacing w:before="40"/>
            </w:pPr>
            <w:r>
              <w:rPr>
                <w:rFonts w:ascii="Arial" w:hAnsi="Arial" w:eastAsia="Arial"/>
                <w:b w:val="0"/>
                <w:i w:val="0"/>
                <w:color w:val="999999"/>
                <w:sz w:val="16"/>
              </w:rPr>
              <w:t>State the currency, unit price and total amount, and the price term (such as FOB, CIF) should be complete and accurate, with the total price consistent in figures and words.</w:t>
            </w:r>
          </w:p>
        </w:tc>
        <w:tc>
          <w:tcPr>
            <w:tcW w:type="dxa" w:w="5102"/>
          </w:tcPr>
          <w:p>
            <w:r/>
          </w:p>
        </w:tc>
      </w:tr>
      <w:tr>
        <w:tc>
          <w:tcPr>
            <w:tcW w:type="dxa" w:w="4535"/>
          </w:tcPr>
          <w:p>
            <w:r/>
            <w:r>
              <w:rPr>
                <w:rFonts w:ascii="Arial" w:hAnsi="Arial" w:eastAsia="Arial"/>
                <w:b/>
                <w:i w:val="0"/>
                <w:sz w:val="20"/>
              </w:rPr>
              <w:t>Price Term</w:t>
            </w:r>
          </w:p>
          <w:p>
            <w:pPr>
              <w:spacing w:before="40"/>
            </w:pPr>
            <w:r>
              <w:rPr>
                <w:rFonts w:ascii="Arial" w:hAnsi="Arial" w:eastAsia="Arial"/>
                <w:b w:val="0"/>
                <w:i w:val="0"/>
                <w:color w:val="999999"/>
                <w:sz w:val="16"/>
              </w:rPr>
              <w:t>Use the latest version such as INCOTERMS 2020, clearly specifying the place of delivery and the boundary of risk division, such as FOB Shanghai, CIF New York.</w:t>
            </w:r>
          </w:p>
        </w:tc>
        <w:tc>
          <w:tcPr>
            <w:tcW w:type="dxa" w:w="5102"/>
          </w:tcPr>
          <w:p>
            <w:r/>
          </w:p>
        </w:tc>
      </w:tr>
      <w:tr>
        <w:tc>
          <w:tcPr>
            <w:tcW w:type="dxa" w:w="4535"/>
          </w:tcPr>
          <w:p>
            <w:r/>
            <w:r>
              <w:rPr>
                <w:rFonts w:ascii="Arial" w:hAnsi="Arial" w:eastAsia="Arial"/>
                <w:b/>
                <w:i w:val="0"/>
                <w:sz w:val="20"/>
              </w:rPr>
              <w:t>Payment Method</w:t>
            </w:r>
          </w:p>
          <w:p>
            <w:pPr>
              <w:spacing w:before="40"/>
            </w:pPr>
            <w:r>
              <w:rPr>
                <w:rFonts w:ascii="Arial" w:hAnsi="Arial" w:eastAsia="Arial"/>
                <w:b w:val="0"/>
                <w:i w:val="0"/>
                <w:color w:val="999999"/>
                <w:sz w:val="16"/>
              </w:rPr>
              <w:t>List the payment terms in detail, such as T/T, L/C, D/P, etc. If it is a letter of credit, specify the issuing bank, L/C type and validity period.</w:t>
            </w:r>
          </w:p>
        </w:tc>
        <w:tc>
          <w:tcPr>
            <w:tcW w:type="dxa" w:w="5102"/>
          </w:tcPr>
          <w:p>
            <w:r/>
          </w:p>
        </w:tc>
      </w:tr>
      <w:tr>
        <w:tc>
          <w:tcPr>
            <w:tcW w:type="dxa" w:w="4535"/>
          </w:tcPr>
          <w:p>
            <w:r/>
            <w:r>
              <w:rPr>
                <w:rFonts w:ascii="Arial" w:hAnsi="Arial" w:eastAsia="Arial"/>
                <w:b/>
                <w:i w:val="0"/>
                <w:sz w:val="20"/>
              </w:rPr>
              <w:t>Delivery Date and Port of Shipment</w:t>
            </w:r>
          </w:p>
          <w:p>
            <w:pPr>
              <w:spacing w:before="40"/>
            </w:pPr>
            <w:r>
              <w:rPr>
                <w:rFonts w:ascii="Arial" w:hAnsi="Arial" w:eastAsia="Arial"/>
                <w:b w:val="0"/>
                <w:i w:val="0"/>
                <w:color w:val="999999"/>
                <w:sz w:val="16"/>
              </w:rPr>
              <w:t>Specify the latest shipment date and port of shipment, which should match the letter of credit shipment period, shipping schedule and production plan.</w:t>
            </w:r>
          </w:p>
        </w:tc>
        <w:tc>
          <w:tcPr>
            <w:tcW w:type="dxa" w:w="5102"/>
          </w:tcPr>
          <w:p>
            <w:r/>
          </w:p>
        </w:tc>
      </w:tr>
      <w:tr>
        <w:tc>
          <w:tcPr>
            <w:tcW w:type="dxa" w:w="4535"/>
          </w:tcPr>
          <w:p>
            <w:r/>
            <w:r>
              <w:rPr>
                <w:rFonts w:ascii="Arial" w:hAnsi="Arial" w:eastAsia="Arial"/>
                <w:b/>
                <w:i w:val="0"/>
                <w:sz w:val="20"/>
              </w:rPr>
              <w:t>Port of Destination and Transshipment</w:t>
            </w:r>
          </w:p>
          <w:p>
            <w:pPr>
              <w:spacing w:before="40"/>
            </w:pPr>
            <w:r>
              <w:rPr>
                <w:rFonts w:ascii="Arial" w:hAnsi="Arial" w:eastAsia="Arial"/>
                <w:b w:val="0"/>
                <w:i w:val="0"/>
                <w:color w:val="999999"/>
                <w:sz w:val="16"/>
              </w:rPr>
              <w:t>Fill in the final port of destination and whether transshipment and partial shipment are allowed, ensuring consistency with the letter of credit and buyer's requirements.</w:t>
            </w:r>
          </w:p>
        </w:tc>
        <w:tc>
          <w:tcPr>
            <w:tcW w:type="dxa" w:w="5102"/>
          </w:tcPr>
          <w:p>
            <w:r/>
          </w:p>
        </w:tc>
      </w:tr>
      <w:tr>
        <w:tc>
          <w:tcPr>
            <w:tcW w:type="dxa" w:w="4535"/>
          </w:tcPr>
          <w:p>
            <w:r/>
            <w:r>
              <w:rPr>
                <w:rFonts w:ascii="Arial" w:hAnsi="Arial" w:eastAsia="Arial"/>
                <w:b/>
                <w:i w:val="0"/>
                <w:sz w:val="20"/>
              </w:rPr>
              <w:t>Insurance Clause</w:t>
            </w:r>
          </w:p>
          <w:p>
            <w:pPr>
              <w:spacing w:before="40"/>
            </w:pPr>
            <w:r>
              <w:rPr>
                <w:rFonts w:ascii="Arial" w:hAnsi="Arial" w:eastAsia="Arial"/>
                <w:b w:val="0"/>
                <w:i w:val="0"/>
                <w:color w:val="999999"/>
                <w:sz w:val="16"/>
              </w:rPr>
              <w:t>Clearly specify who insures, the insurance coverage and insured amount, such as under CIF terms the seller insures all risks for 110% of the invoice value.</w:t>
            </w:r>
          </w:p>
        </w:tc>
        <w:tc>
          <w:tcPr>
            <w:tcW w:type="dxa" w:w="5102"/>
          </w:tcPr>
          <w:p>
            <w:r/>
          </w:p>
        </w:tc>
      </w:tr>
      <w:tr>
        <w:tc>
          <w:tcPr>
            <w:tcW w:type="dxa" w:w="4535"/>
          </w:tcPr>
          <w:p>
            <w:r/>
            <w:r>
              <w:rPr>
                <w:rFonts w:ascii="Arial" w:hAnsi="Arial" w:eastAsia="Arial"/>
                <w:b/>
                <w:i w:val="0"/>
                <w:sz w:val="20"/>
              </w:rPr>
              <w:t>Packaging and Shipping Marks</w:t>
            </w:r>
          </w:p>
          <w:p>
            <w:pPr>
              <w:spacing w:before="40"/>
            </w:pPr>
            <w:r>
              <w:rPr>
                <w:rFonts w:ascii="Arial" w:hAnsi="Arial" w:eastAsia="Arial"/>
                <w:b w:val="0"/>
                <w:i w:val="0"/>
                <w:color w:val="999999"/>
                <w:sz w:val="16"/>
              </w:rPr>
              <w:t>Explain the packaging method, outer carton dimensions and shipping marks, and the shipping mark content should be consistent with the letter of credit, packing list and actual goods.</w:t>
            </w:r>
          </w:p>
        </w:tc>
        <w:tc>
          <w:tcPr>
            <w:tcW w:type="dxa" w:w="5102"/>
          </w:tcPr>
          <w:p>
            <w:r/>
          </w:p>
        </w:tc>
      </w:tr>
      <w:tr>
        <w:tc>
          <w:tcPr>
            <w:tcW w:type="dxa" w:w="4535"/>
          </w:tcPr>
          <w:p>
            <w:r/>
            <w:r>
              <w:rPr>
                <w:rFonts w:ascii="Arial" w:hAnsi="Arial" w:eastAsia="Arial"/>
                <w:b/>
                <w:i w:val="0"/>
                <w:sz w:val="20"/>
              </w:rPr>
              <w:t>Arbitration and Dispute Resolution</w:t>
            </w:r>
          </w:p>
          <w:p>
            <w:pPr>
              <w:spacing w:before="40"/>
            </w:pPr>
            <w:r>
              <w:rPr>
                <w:rFonts w:ascii="Arial" w:hAnsi="Arial" w:eastAsia="Arial"/>
                <w:b w:val="0"/>
                <w:i w:val="0"/>
                <w:color w:val="999999"/>
                <w:sz w:val="16"/>
              </w:rPr>
              <w:t>Agree on the applicable law, arbitration institution and arbitration rules, such as submitting to the China International Economic and Trade Arbitration Commission for arbitration.</w:t>
            </w:r>
          </w:p>
        </w:tc>
        <w:tc>
          <w:tcPr>
            <w:tcW w:type="dxa" w:w="5102"/>
          </w:tcPr>
          <w:p>
            <w:r/>
          </w:p>
        </w:tc>
      </w:tr>
      <w:tr>
        <w:tc>
          <w:tcPr>
            <w:tcW w:type="dxa" w:w="4535"/>
          </w:tcPr>
          <w:p>
            <w:r/>
            <w:r>
              <w:rPr>
                <w:rFonts w:ascii="Arial" w:hAnsi="Arial" w:eastAsia="Arial"/>
                <w:b/>
                <w:i w:val="0"/>
                <w:sz w:val="20"/>
              </w:rPr>
              <w:t>Signatures and Seals of Both Parties</w:t>
            </w:r>
          </w:p>
          <w:p>
            <w:pPr>
              <w:spacing w:before="40"/>
            </w:pPr>
            <w:r>
              <w:rPr>
                <w:rFonts w:ascii="Arial" w:hAnsi="Arial" w:eastAsia="Arial"/>
                <w:b w:val="0"/>
                <w:i w:val="0"/>
                <w:color w:val="999999"/>
                <w:sz w:val="16"/>
              </w:rPr>
              <w:t>The seller signs and seals first, then sends it to the buyer for countersignature. After both parties sign and seal, the contract officially takes effect. Fax copies are usually valid.</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