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Sales Contract</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Contract No.</w:t>
            </w:r>
          </w:p>
          <w:p>
            <w:pPr>
              <w:spacing w:before="40"/>
            </w:pPr>
            <w:r>
              <w:rPr>
                <w:rFonts w:ascii="Arial" w:hAnsi="Arial" w:eastAsia="Arial"/>
                <w:b w:val="0"/>
                <w:i w:val="0"/>
                <w:color w:val="999999"/>
                <w:sz w:val="16"/>
              </w:rPr>
              <w:t>A unique identification number prepared by the seller or negotiated by both parties, usually containing the year, company code, and serial number, used to link invoices, letters of credit, and other documents.</w:t>
            </w:r>
          </w:p>
        </w:tc>
        <w:tc>
          <w:tcPr>
            <w:tcW w:type="dxa" w:w="5102"/>
          </w:tcPr>
          <w:p>
            <w:r/>
          </w:p>
        </w:tc>
      </w:tr>
      <w:tr>
        <w:tc>
          <w:tcPr>
            <w:tcW w:type="dxa" w:w="4535"/>
          </w:tcPr>
          <w:p>
            <w:r/>
            <w:r>
              <w:rPr>
                <w:rFonts w:ascii="Arial" w:hAnsi="Arial" w:eastAsia="Arial"/>
                <w:b/>
                <w:i w:val="0"/>
                <w:sz w:val="20"/>
              </w:rPr>
              <w:t>Date &amp; Place of Signing</w:t>
            </w:r>
          </w:p>
          <w:p>
            <w:pPr>
              <w:spacing w:before="40"/>
            </w:pPr>
            <w:r>
              <w:rPr>
                <w:rFonts w:ascii="Arial" w:hAnsi="Arial" w:eastAsia="Arial"/>
                <w:b w:val="0"/>
                <w:i w:val="0"/>
                <w:color w:val="999999"/>
                <w:sz w:val="16"/>
              </w:rPr>
              <w:t>Specifies the effective date of the contract and the jurisdiction for applicable law; the place may affect the legal application for dispute resolution.</w:t>
            </w:r>
          </w:p>
        </w:tc>
        <w:tc>
          <w:tcPr>
            <w:tcW w:type="dxa" w:w="5102"/>
          </w:tcPr>
          <w:p>
            <w:r/>
          </w:p>
        </w:tc>
      </w:tr>
      <w:tr>
        <w:tc>
          <w:tcPr>
            <w:tcW w:type="dxa" w:w="4535"/>
          </w:tcPr>
          <w:p>
            <w:r/>
            <w:r>
              <w:rPr>
                <w:rFonts w:ascii="Arial" w:hAnsi="Arial" w:eastAsia="Arial"/>
                <w:b/>
                <w:i w:val="0"/>
                <w:sz w:val="20"/>
              </w:rPr>
              <w:t>Seller/Buyer</w:t>
            </w:r>
          </w:p>
          <w:p>
            <w:pPr>
              <w:spacing w:before="40"/>
            </w:pPr>
            <w:r>
              <w:rPr>
                <w:rFonts w:ascii="Arial" w:hAnsi="Arial" w:eastAsia="Arial"/>
                <w:b w:val="0"/>
                <w:i w:val="0"/>
                <w:color w:val="999999"/>
                <w:sz w:val="16"/>
              </w:rPr>
              <w:t>Fill in the complete legal name, detailed address, contact information, and tax number, ensuring consistency with the business license.</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Includes product name, specifications, model, material, use, etc., and should be completely consistent with the letter of credit and the actual goods.</w:t>
            </w:r>
          </w:p>
        </w:tc>
        <w:tc>
          <w:tcPr>
            <w:tcW w:type="dxa" w:w="5102"/>
          </w:tcPr>
          <w:p>
            <w:r/>
          </w:p>
        </w:tc>
      </w:tr>
      <w:tr>
        <w:tc>
          <w:tcPr>
            <w:tcW w:type="dxa" w:w="4535"/>
          </w:tcPr>
          <w:p>
            <w:r/>
            <w:r>
              <w:rPr>
                <w:rFonts w:ascii="Arial" w:hAnsi="Arial" w:eastAsia="Arial"/>
                <w:b/>
                <w:i w:val="0"/>
                <w:sz w:val="20"/>
              </w:rPr>
              <w:t>Quantity &amp; Unit</w:t>
            </w:r>
          </w:p>
          <w:p>
            <w:pPr>
              <w:spacing w:before="40"/>
            </w:pPr>
            <w:r>
              <w:rPr>
                <w:rFonts w:ascii="Arial" w:hAnsi="Arial" w:eastAsia="Arial"/>
                <w:b w:val="0"/>
                <w:i w:val="0"/>
                <w:color w:val="999999"/>
                <w:sz w:val="16"/>
              </w:rPr>
              <w:t>Clearly specify the unit of measurement (such as PCS, KGS, SETS) and more or less clause, and note the differences between the metric and imperial systems.</w:t>
            </w:r>
          </w:p>
        </w:tc>
        <w:tc>
          <w:tcPr>
            <w:tcW w:type="dxa" w:w="5102"/>
          </w:tcPr>
          <w:p>
            <w:r/>
          </w:p>
        </w:tc>
      </w:tr>
      <w:tr>
        <w:tc>
          <w:tcPr>
            <w:tcW w:type="dxa" w:w="4535"/>
          </w:tcPr>
          <w:p>
            <w:r/>
            <w:r>
              <w:rPr>
                <w:rFonts w:ascii="Arial" w:hAnsi="Arial" w:eastAsia="Arial"/>
                <w:b/>
                <w:i w:val="0"/>
                <w:sz w:val="20"/>
              </w:rPr>
              <w:t>Unit Price &amp; Total Amount</w:t>
            </w:r>
          </w:p>
          <w:p>
            <w:pPr>
              <w:spacing w:before="40"/>
            </w:pPr>
            <w:r>
              <w:rPr>
                <w:rFonts w:ascii="Arial" w:hAnsi="Arial" w:eastAsia="Arial"/>
                <w:b w:val="0"/>
                <w:i w:val="0"/>
                <w:color w:val="999999"/>
                <w:sz w:val="16"/>
              </w:rPr>
              <w:t>Indicate the currency, trade terms (such as FOB, CIF), unit price, and total amount, with figures and words consistent.</w:t>
            </w:r>
          </w:p>
        </w:tc>
        <w:tc>
          <w:tcPr>
            <w:tcW w:type="dxa" w:w="5102"/>
          </w:tcPr>
          <w:p>
            <w:r/>
          </w:p>
        </w:tc>
      </w:tr>
      <w:tr>
        <w:tc>
          <w:tcPr>
            <w:tcW w:type="dxa" w:w="4535"/>
          </w:tcPr>
          <w:p>
            <w:r/>
            <w:r>
              <w:rPr>
                <w:rFonts w:ascii="Arial" w:hAnsi="Arial" w:eastAsia="Arial"/>
                <w:b/>
                <w:i w:val="0"/>
                <w:sz w:val="20"/>
              </w:rPr>
              <w:t>Trade Terms</w:t>
            </w:r>
          </w:p>
          <w:p>
            <w:pPr>
              <w:spacing w:before="40"/>
            </w:pPr>
            <w:r>
              <w:rPr>
                <w:rFonts w:ascii="Arial" w:hAnsi="Arial" w:eastAsia="Arial"/>
                <w:b w:val="0"/>
                <w:i w:val="0"/>
                <w:color w:val="999999"/>
                <w:sz w:val="16"/>
              </w:rPr>
              <w:t>Adopt international rules such as INCOTERMS 2020 to clarify the division of risks, costs, and the place of delivery.</w:t>
            </w:r>
          </w:p>
        </w:tc>
        <w:tc>
          <w:tcPr>
            <w:tcW w:type="dxa" w:w="5102"/>
          </w:tcPr>
          <w:p>
            <w:r/>
          </w:p>
        </w:tc>
      </w:tr>
      <w:tr>
        <w:tc>
          <w:tcPr>
            <w:tcW w:type="dxa" w:w="4535"/>
          </w:tcPr>
          <w:p>
            <w:r/>
            <w:r>
              <w:rPr>
                <w:rFonts w:ascii="Arial" w:hAnsi="Arial" w:eastAsia="Arial"/>
                <w:b/>
                <w:i w:val="0"/>
                <w:sz w:val="20"/>
              </w:rPr>
              <w:t>Payment Terms</w:t>
            </w:r>
          </w:p>
          <w:p>
            <w:pPr>
              <w:spacing w:before="40"/>
            </w:pPr>
            <w:r>
              <w:rPr>
                <w:rFonts w:ascii="Arial" w:hAnsi="Arial" w:eastAsia="Arial"/>
                <w:b w:val="0"/>
                <w:i w:val="0"/>
                <w:color w:val="999999"/>
                <w:sz w:val="16"/>
              </w:rPr>
              <w:t>Such as T/T, L/C, D/P, etc., indicating the deposit ratio, type of letter of credit, and validity period.</w:t>
            </w:r>
          </w:p>
        </w:tc>
        <w:tc>
          <w:tcPr>
            <w:tcW w:type="dxa" w:w="5102"/>
          </w:tcPr>
          <w:p>
            <w:r/>
          </w:p>
        </w:tc>
      </w:tr>
      <w:tr>
        <w:tc>
          <w:tcPr>
            <w:tcW w:type="dxa" w:w="4535"/>
          </w:tcPr>
          <w:p>
            <w:r/>
            <w:r>
              <w:rPr>
                <w:rFonts w:ascii="Arial" w:hAnsi="Arial" w:eastAsia="Arial"/>
                <w:b/>
                <w:i w:val="0"/>
                <w:sz w:val="20"/>
              </w:rPr>
              <w:t>Delivery &amp; Ports</w:t>
            </w:r>
          </w:p>
          <w:p>
            <w:pPr>
              <w:spacing w:before="40"/>
            </w:pPr>
            <w:r>
              <w:rPr>
                <w:rFonts w:ascii="Arial" w:hAnsi="Arial" w:eastAsia="Arial"/>
                <w:b w:val="0"/>
                <w:i w:val="0"/>
                <w:color w:val="999999"/>
                <w:sz w:val="16"/>
              </w:rPr>
              <w:t>Specify the latest shipment date, port of shipment, and port of destination, which should be consistent with the letter of credit.</w:t>
            </w:r>
          </w:p>
        </w:tc>
        <w:tc>
          <w:tcPr>
            <w:tcW w:type="dxa" w:w="5102"/>
          </w:tcPr>
          <w:p>
            <w:r/>
          </w:p>
        </w:tc>
      </w:tr>
      <w:tr>
        <w:tc>
          <w:tcPr>
            <w:tcW w:type="dxa" w:w="4535"/>
          </w:tcPr>
          <w:p>
            <w:r/>
            <w:r>
              <w:rPr>
                <w:rFonts w:ascii="Arial" w:hAnsi="Arial" w:eastAsia="Arial"/>
                <w:b/>
                <w:i w:val="0"/>
                <w:sz w:val="20"/>
              </w:rPr>
              <w:t>Packing &amp; Marks</w:t>
            </w:r>
          </w:p>
          <w:p>
            <w:pPr>
              <w:spacing w:before="40"/>
            </w:pPr>
            <w:r>
              <w:rPr>
                <w:rFonts w:ascii="Arial" w:hAnsi="Arial" w:eastAsia="Arial"/>
                <w:b w:val="0"/>
                <w:i w:val="0"/>
                <w:color w:val="999999"/>
                <w:sz w:val="16"/>
              </w:rPr>
              <w:t>Explain the packaging materials, methods, and shipping marks; the marks must be consistent with the bill of lading and invoice.</w:t>
            </w:r>
          </w:p>
        </w:tc>
        <w:tc>
          <w:tcPr>
            <w:tcW w:type="dxa" w:w="5102"/>
          </w:tcPr>
          <w:p>
            <w:r/>
          </w:p>
        </w:tc>
      </w:tr>
      <w:tr>
        <w:tc>
          <w:tcPr>
            <w:tcW w:type="dxa" w:w="4535"/>
          </w:tcPr>
          <w:p>
            <w:r/>
            <w:r>
              <w:rPr>
                <w:rFonts w:ascii="Arial" w:hAnsi="Arial" w:eastAsia="Arial"/>
                <w:b/>
                <w:i w:val="0"/>
                <w:sz w:val="20"/>
              </w:rPr>
              <w:t>Inspection &amp; Claims</w:t>
            </w:r>
          </w:p>
          <w:p>
            <w:pPr>
              <w:spacing w:before="40"/>
            </w:pPr>
            <w:r>
              <w:rPr>
                <w:rFonts w:ascii="Arial" w:hAnsi="Arial" w:eastAsia="Arial"/>
                <w:b w:val="0"/>
                <w:i w:val="0"/>
                <w:color w:val="999999"/>
                <w:sz w:val="16"/>
              </w:rPr>
              <w:t>Specify the inspection agency, standards, time limit, and claim method, such as SGS, CIQ.</w:t>
            </w:r>
          </w:p>
        </w:tc>
        <w:tc>
          <w:tcPr>
            <w:tcW w:type="dxa" w:w="5102"/>
          </w:tcPr>
          <w:p>
            <w:r/>
          </w:p>
        </w:tc>
      </w:tr>
      <w:tr>
        <w:tc>
          <w:tcPr>
            <w:tcW w:type="dxa" w:w="4535"/>
          </w:tcPr>
          <w:p>
            <w:r/>
            <w:r>
              <w:rPr>
                <w:rFonts w:ascii="Arial" w:hAnsi="Arial" w:eastAsia="Arial"/>
                <w:b/>
                <w:i w:val="0"/>
                <w:sz w:val="20"/>
              </w:rPr>
              <w:t>Force Majeure</w:t>
            </w:r>
          </w:p>
          <w:p>
            <w:pPr>
              <w:spacing w:before="40"/>
            </w:pPr>
            <w:r>
              <w:rPr>
                <w:rFonts w:ascii="Arial" w:hAnsi="Arial" w:eastAsia="Arial"/>
                <w:b w:val="0"/>
                <w:i w:val="0"/>
                <w:color w:val="999999"/>
                <w:sz w:val="16"/>
              </w:rPr>
              <w:t>List the scope of force majeure events and notification obligations, exempting the affected party from liability.</w:t>
            </w:r>
          </w:p>
        </w:tc>
        <w:tc>
          <w:tcPr>
            <w:tcW w:type="dxa" w:w="5102"/>
          </w:tcPr>
          <w:p>
            <w:r/>
          </w:p>
        </w:tc>
      </w:tr>
      <w:tr>
        <w:tc>
          <w:tcPr>
            <w:tcW w:type="dxa" w:w="4535"/>
          </w:tcPr>
          <w:p>
            <w:r/>
            <w:r>
              <w:rPr>
                <w:rFonts w:ascii="Arial" w:hAnsi="Arial" w:eastAsia="Arial"/>
                <w:b/>
                <w:i w:val="0"/>
                <w:sz w:val="20"/>
              </w:rPr>
              <w:t>Arbitration &amp; Governing Law</w:t>
            </w:r>
          </w:p>
          <w:p>
            <w:pPr>
              <w:spacing w:before="40"/>
            </w:pPr>
            <w:r>
              <w:rPr>
                <w:rFonts w:ascii="Arial" w:hAnsi="Arial" w:eastAsia="Arial"/>
                <w:b w:val="0"/>
                <w:i w:val="0"/>
                <w:color w:val="999999"/>
                <w:sz w:val="16"/>
              </w:rPr>
              <w:t>Agree on the arbitration institution, rules, place, and applicable law, such as CIETAC, ICC.</w:t>
            </w:r>
          </w:p>
        </w:tc>
        <w:tc>
          <w:tcPr>
            <w:tcW w:type="dxa" w:w="5102"/>
          </w:tcPr>
          <w:p>
            <w:r/>
          </w:p>
        </w:tc>
      </w:tr>
      <w:tr>
        <w:tc>
          <w:tcPr>
            <w:tcW w:type="dxa" w:w="4535"/>
          </w:tcPr>
          <w:p>
            <w:r/>
            <w:r>
              <w:rPr>
                <w:rFonts w:ascii="Arial" w:hAnsi="Arial" w:eastAsia="Arial"/>
                <w:b/>
                <w:i w:val="0"/>
                <w:sz w:val="20"/>
              </w:rPr>
              <w:t>Signature &amp; Seal</w:t>
            </w:r>
          </w:p>
          <w:p>
            <w:pPr>
              <w:spacing w:before="40"/>
            </w:pPr>
            <w:r>
              <w:rPr>
                <w:rFonts w:ascii="Arial" w:hAnsi="Arial" w:eastAsia="Arial"/>
                <w:b w:val="0"/>
                <w:i w:val="0"/>
                <w:color w:val="999999"/>
                <w:sz w:val="16"/>
              </w:rPr>
              <w:t>Signed by authorized representatives of both parties and stamped with the official seal; the original contract is usually in duplicate.</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